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53BCC" w14:textId="175339AB" w:rsidR="00B150F4" w:rsidRPr="0029108C" w:rsidRDefault="00A87EC7" w:rsidP="00A87EC7">
      <w:pPr>
        <w:pStyle w:val="Body"/>
      </w:pPr>
      <w:r>
        <w:rPr>
          <w:noProof/>
        </w:rPr>
        <w:drawing>
          <wp:inline distT="0" distB="0" distL="0" distR="0" wp14:anchorId="70DD9064" wp14:editId="42A45DB3">
            <wp:extent cx="1494635" cy="731520"/>
            <wp:effectExtent l="0" t="0" r="0" b="0"/>
            <wp:docPr id="4493434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1494635" cy="731520"/>
                    </a:xfrm>
                    <a:prstGeom prst="rect">
                      <a:avLst/>
                    </a:prstGeom>
                  </pic:spPr>
                </pic:pic>
              </a:graphicData>
            </a:graphic>
          </wp:inline>
        </w:drawing>
      </w:r>
    </w:p>
    <w:p w14:paraId="7063DB65" w14:textId="6B434101" w:rsidR="002E0904" w:rsidRPr="00F92059" w:rsidRDefault="00A87EC7" w:rsidP="00935ED1">
      <w:pPr>
        <w:pStyle w:val="DocumentSubtitle"/>
        <w:spacing w:before="240"/>
        <w:rPr>
          <w:rFonts w:asciiTheme="majorHAnsi" w:hAnsiTheme="majorHAnsi"/>
          <w:color w:val="404040" w:themeColor="text1" w:themeTint="BF"/>
          <w:spacing w:val="-6"/>
          <w:sz w:val="52"/>
          <w:szCs w:val="24"/>
        </w:rPr>
      </w:pPr>
      <w:r>
        <w:rPr>
          <w:noProof/>
        </w:rPr>
        <w:drawing>
          <wp:inline distT="0" distB="0" distL="0" distR="0" wp14:anchorId="0E21B123" wp14:editId="697D3F40">
            <wp:extent cx="5943600" cy="3966462"/>
            <wp:effectExtent l="0" t="0" r="0" b="0"/>
            <wp:docPr id="10" name="Picture 10" descr="A group of medical professional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943600" cy="3966462"/>
                    </a:xfrm>
                    <a:prstGeom prst="rect">
                      <a:avLst/>
                    </a:prstGeom>
                  </pic:spPr>
                </pic:pic>
              </a:graphicData>
            </a:graphic>
          </wp:inline>
        </w:drawing>
      </w:r>
    </w:p>
    <w:p w14:paraId="6F95D2AE" w14:textId="77777777" w:rsidR="00BD2B2C" w:rsidRDefault="00BD2B2C" w:rsidP="00F40047">
      <w:pPr>
        <w:pStyle w:val="CoverDate"/>
        <w:spacing w:before="600" w:line="240" w:lineRule="auto"/>
        <w:rPr>
          <w:color w:val="000000" w:themeColor="text1"/>
          <w:spacing w:val="0"/>
          <w:kern w:val="28"/>
          <w:sz w:val="68"/>
          <w:szCs w:val="68"/>
        </w:rPr>
      </w:pPr>
      <w:r w:rsidRPr="00BD2B2C">
        <w:rPr>
          <w:color w:val="000000" w:themeColor="text1"/>
          <w:spacing w:val="0"/>
          <w:kern w:val="28"/>
          <w:sz w:val="68"/>
          <w:szCs w:val="68"/>
        </w:rPr>
        <w:t>Ontario</w:t>
      </w:r>
      <w:bookmarkStart w:id="0" w:name="_GoBack"/>
      <w:bookmarkEnd w:id="0"/>
      <w:r w:rsidRPr="00BD2B2C">
        <w:rPr>
          <w:color w:val="000000" w:themeColor="text1"/>
          <w:spacing w:val="0"/>
          <w:kern w:val="28"/>
          <w:sz w:val="68"/>
          <w:szCs w:val="68"/>
        </w:rPr>
        <w:t xml:space="preserve">’s Digital Health Connectivity Requirements for Point-of-Service Procurements </w:t>
      </w:r>
    </w:p>
    <w:p w14:paraId="38ECDB43" w14:textId="0EC75C55" w:rsidR="00E042DF" w:rsidRDefault="00BE0262" w:rsidP="00F40047">
      <w:pPr>
        <w:pStyle w:val="CoverDate"/>
        <w:spacing w:before="600" w:line="240" w:lineRule="auto"/>
      </w:pPr>
      <w:r>
        <w:t xml:space="preserve">October </w:t>
      </w:r>
      <w:r w:rsidR="00536692">
        <w:t>2020</w:t>
      </w:r>
      <w:r w:rsidR="006E7579">
        <w:br/>
      </w:r>
      <w:r w:rsidR="00F40047">
        <w:t>Version 2.</w:t>
      </w:r>
      <w:r w:rsidR="008907B4">
        <w:t>2</w:t>
      </w:r>
    </w:p>
    <w:p w14:paraId="53AC944D" w14:textId="77777777" w:rsidR="00E042DF" w:rsidRPr="003D7E97" w:rsidRDefault="00E042DF" w:rsidP="0094313E">
      <w:pPr>
        <w:pStyle w:val="Body"/>
        <w:sectPr w:rsidR="00E042DF" w:rsidRPr="003D7E97" w:rsidSect="001E59E7">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1440" w:footer="432" w:gutter="0"/>
          <w:cols w:space="720"/>
          <w:docGrid w:linePitch="360"/>
        </w:sectPr>
      </w:pPr>
    </w:p>
    <w:p w14:paraId="1A72E256" w14:textId="1062421F" w:rsidR="004957E2" w:rsidRDefault="004957E2" w:rsidP="00591A5C">
      <w:pPr>
        <w:pStyle w:val="TableTitles"/>
        <w:pBdr>
          <w:top w:val="none" w:sz="0" w:space="0" w:color="auto"/>
        </w:pBdr>
      </w:pPr>
      <w:bookmarkStart w:id="1" w:name="_Toc403140857"/>
      <w:r>
        <w:lastRenderedPageBreak/>
        <w:t>Approval History</w:t>
      </w:r>
    </w:p>
    <w:tbl>
      <w:tblPr>
        <w:tblStyle w:val="eHealthTable"/>
        <w:tblW w:w="9360" w:type="dxa"/>
        <w:tblLayout w:type="fixed"/>
        <w:tblLook w:val="04A0" w:firstRow="1" w:lastRow="0" w:firstColumn="1" w:lastColumn="0" w:noHBand="0" w:noVBand="1"/>
      </w:tblPr>
      <w:tblGrid>
        <w:gridCol w:w="2160"/>
        <w:gridCol w:w="3495"/>
        <w:gridCol w:w="3705"/>
      </w:tblGrid>
      <w:tr w:rsidR="00F44FA7" w14:paraId="3DDC7510" w14:textId="4A21672B" w:rsidTr="00A13BE9">
        <w:trPr>
          <w:cnfStyle w:val="100000000000" w:firstRow="1" w:lastRow="0" w:firstColumn="0" w:lastColumn="0" w:oddVBand="0" w:evenVBand="0" w:oddHBand="0" w:evenHBand="0" w:firstRowFirstColumn="0" w:firstRowLastColumn="0" w:lastRowFirstColumn="0" w:lastRowLastColumn="0"/>
          <w:tblHeader/>
        </w:trPr>
        <w:tc>
          <w:tcPr>
            <w:tcW w:w="2160" w:type="dxa"/>
            <w:tcMar>
              <w:top w:w="58" w:type="dxa"/>
              <w:left w:w="115" w:type="dxa"/>
              <w:bottom w:w="58" w:type="dxa"/>
              <w:right w:w="115" w:type="dxa"/>
            </w:tcMar>
          </w:tcPr>
          <w:p w14:paraId="28B7A8DF" w14:textId="4E14DBFB" w:rsidR="00F44FA7" w:rsidRDefault="00F44FA7" w:rsidP="009E4726">
            <w:pPr>
              <w:pStyle w:val="TableText"/>
              <w:keepNext/>
              <w:spacing w:after="100"/>
            </w:pPr>
            <w:r>
              <w:t>Approver(s)</w:t>
            </w:r>
          </w:p>
        </w:tc>
        <w:tc>
          <w:tcPr>
            <w:tcW w:w="3495" w:type="dxa"/>
          </w:tcPr>
          <w:p w14:paraId="28D63C85" w14:textId="2C9C3421" w:rsidR="00F44FA7" w:rsidRDefault="00F44FA7" w:rsidP="009E4726">
            <w:pPr>
              <w:pStyle w:val="TableText"/>
              <w:keepNext/>
              <w:spacing w:after="100"/>
            </w:pPr>
            <w:r>
              <w:t>Title/Department</w:t>
            </w:r>
          </w:p>
        </w:tc>
        <w:tc>
          <w:tcPr>
            <w:tcW w:w="3705" w:type="dxa"/>
          </w:tcPr>
          <w:p w14:paraId="7E7FBCC0" w14:textId="78E29E3E" w:rsidR="00F44FA7" w:rsidRDefault="00F44FA7" w:rsidP="009E4726">
            <w:pPr>
              <w:pStyle w:val="TableText"/>
              <w:keepNext/>
              <w:spacing w:after="100"/>
            </w:pPr>
            <w:r>
              <w:t>Approved Date</w:t>
            </w:r>
          </w:p>
        </w:tc>
      </w:tr>
      <w:tr w:rsidR="00F44FA7" w14:paraId="7B483938" w14:textId="057913AE" w:rsidTr="00A13BE9">
        <w:trPr>
          <w:cnfStyle w:val="000000100000" w:firstRow="0" w:lastRow="0" w:firstColumn="0" w:lastColumn="0" w:oddVBand="0" w:evenVBand="0" w:oddHBand="1" w:evenHBand="0" w:firstRowFirstColumn="0" w:firstRowLastColumn="0" w:lastRowFirstColumn="0" w:lastRowLastColumn="0"/>
        </w:trPr>
        <w:tc>
          <w:tcPr>
            <w:tcW w:w="2160" w:type="dxa"/>
            <w:tcMar>
              <w:top w:w="58" w:type="dxa"/>
              <w:left w:w="115" w:type="dxa"/>
              <w:bottom w:w="58" w:type="dxa"/>
              <w:right w:w="115" w:type="dxa"/>
            </w:tcMar>
          </w:tcPr>
          <w:p w14:paraId="4D83A9DF" w14:textId="527EA007" w:rsidR="00F44FA7" w:rsidRPr="00F44FA7" w:rsidRDefault="00F40047" w:rsidP="00F44FA7">
            <w:pPr>
              <w:pStyle w:val="TableText"/>
            </w:pPr>
            <w:r w:rsidRPr="00F40047">
              <w:t>EHR Governance Business &amp; Technical Committee</w:t>
            </w:r>
          </w:p>
        </w:tc>
        <w:tc>
          <w:tcPr>
            <w:tcW w:w="3495" w:type="dxa"/>
          </w:tcPr>
          <w:p w14:paraId="037D5C3D" w14:textId="6D031717" w:rsidR="00F44FA7" w:rsidRPr="00AE5648" w:rsidRDefault="00F44FA7" w:rsidP="00F44FA7">
            <w:pPr>
              <w:pStyle w:val="TableText"/>
              <w:ind w:left="18"/>
            </w:pPr>
          </w:p>
        </w:tc>
        <w:tc>
          <w:tcPr>
            <w:tcW w:w="3705" w:type="dxa"/>
          </w:tcPr>
          <w:p w14:paraId="10F4AC7E" w14:textId="2189A25A" w:rsidR="00F44FA7" w:rsidRDefault="00F40047" w:rsidP="00F44FA7">
            <w:pPr>
              <w:pStyle w:val="TableText"/>
              <w:ind w:left="18"/>
            </w:pPr>
            <w:r w:rsidRPr="00F40047">
              <w:t>2015-06-17</w:t>
            </w:r>
          </w:p>
        </w:tc>
      </w:tr>
      <w:tr w:rsidR="00F44FA7" w14:paraId="3C5B955F" w14:textId="158A0CAE" w:rsidTr="00A13BE9">
        <w:trPr>
          <w:cnfStyle w:val="000000010000" w:firstRow="0" w:lastRow="0" w:firstColumn="0" w:lastColumn="0" w:oddVBand="0" w:evenVBand="0" w:oddHBand="0" w:evenHBand="1" w:firstRowFirstColumn="0" w:firstRowLastColumn="0" w:lastRowFirstColumn="0" w:lastRowLastColumn="0"/>
        </w:trPr>
        <w:tc>
          <w:tcPr>
            <w:tcW w:w="2160" w:type="dxa"/>
            <w:tcMar>
              <w:top w:w="58" w:type="dxa"/>
              <w:left w:w="115" w:type="dxa"/>
              <w:bottom w:w="58" w:type="dxa"/>
              <w:right w:w="115" w:type="dxa"/>
            </w:tcMar>
          </w:tcPr>
          <w:p w14:paraId="1CC807DE" w14:textId="06EBF9CE" w:rsidR="00F44FA7" w:rsidRPr="00F44FA7" w:rsidRDefault="00C107E9" w:rsidP="00F44FA7">
            <w:pPr>
              <w:pStyle w:val="TableText"/>
            </w:pPr>
            <w:r w:rsidRPr="00F40047">
              <w:t>EHR Governance</w:t>
            </w:r>
            <w:r w:rsidR="00E92638">
              <w:t xml:space="preserve">: Strategic and </w:t>
            </w:r>
            <w:r w:rsidRPr="00F40047">
              <w:t xml:space="preserve"> Business &amp; Technical Committee</w:t>
            </w:r>
          </w:p>
        </w:tc>
        <w:tc>
          <w:tcPr>
            <w:tcW w:w="3495" w:type="dxa"/>
          </w:tcPr>
          <w:p w14:paraId="4C5A3978" w14:textId="2A99B489" w:rsidR="00F44FA7" w:rsidRPr="00AE5648" w:rsidRDefault="00F44FA7" w:rsidP="00F44FA7">
            <w:pPr>
              <w:pStyle w:val="TableText"/>
              <w:ind w:left="18"/>
            </w:pPr>
          </w:p>
        </w:tc>
        <w:tc>
          <w:tcPr>
            <w:tcW w:w="3705" w:type="dxa"/>
          </w:tcPr>
          <w:p w14:paraId="304F960A" w14:textId="50FF6E2F" w:rsidR="00E92638" w:rsidRDefault="00E92638" w:rsidP="00F44FA7">
            <w:pPr>
              <w:pStyle w:val="TableText"/>
              <w:ind w:left="18"/>
            </w:pPr>
            <w:r>
              <w:t>2020-09-17</w:t>
            </w:r>
          </w:p>
          <w:p w14:paraId="6C153DCF" w14:textId="43FF32E0" w:rsidR="00F44FA7" w:rsidRDefault="00C107E9" w:rsidP="00F44FA7">
            <w:pPr>
              <w:pStyle w:val="TableText"/>
              <w:ind w:left="18"/>
            </w:pPr>
            <w:r>
              <w:t>2020-10-21</w:t>
            </w:r>
          </w:p>
        </w:tc>
      </w:tr>
      <w:tr w:rsidR="00F44FA7" w14:paraId="70DDD031" w14:textId="05F11CCC" w:rsidTr="00A13BE9">
        <w:trPr>
          <w:cnfStyle w:val="000000100000" w:firstRow="0" w:lastRow="0" w:firstColumn="0" w:lastColumn="0" w:oddVBand="0" w:evenVBand="0" w:oddHBand="1" w:evenHBand="0" w:firstRowFirstColumn="0" w:firstRowLastColumn="0" w:lastRowFirstColumn="0" w:lastRowLastColumn="0"/>
        </w:trPr>
        <w:tc>
          <w:tcPr>
            <w:tcW w:w="2160" w:type="dxa"/>
            <w:tcMar>
              <w:top w:w="58" w:type="dxa"/>
              <w:left w:w="115" w:type="dxa"/>
              <w:bottom w:w="58" w:type="dxa"/>
              <w:right w:w="115" w:type="dxa"/>
            </w:tcMar>
          </w:tcPr>
          <w:p w14:paraId="207E431E" w14:textId="7CE42474" w:rsidR="00F44FA7" w:rsidRPr="00F44FA7" w:rsidRDefault="00F44FA7" w:rsidP="00F44FA7">
            <w:pPr>
              <w:pStyle w:val="TableText"/>
            </w:pPr>
          </w:p>
        </w:tc>
        <w:tc>
          <w:tcPr>
            <w:tcW w:w="3495" w:type="dxa"/>
          </w:tcPr>
          <w:p w14:paraId="3720655F" w14:textId="65AFA3E4" w:rsidR="00F44FA7" w:rsidRDefault="00F44FA7" w:rsidP="00F44FA7">
            <w:pPr>
              <w:pStyle w:val="TableText"/>
              <w:ind w:left="18"/>
            </w:pPr>
          </w:p>
        </w:tc>
        <w:tc>
          <w:tcPr>
            <w:tcW w:w="3705" w:type="dxa"/>
          </w:tcPr>
          <w:p w14:paraId="0DEA757C" w14:textId="77777777" w:rsidR="00F44FA7" w:rsidRDefault="00F44FA7" w:rsidP="00F44FA7">
            <w:pPr>
              <w:pStyle w:val="TableText"/>
              <w:ind w:left="18"/>
            </w:pPr>
          </w:p>
        </w:tc>
      </w:tr>
      <w:tr w:rsidR="00F44FA7" w14:paraId="16FC8AB9" w14:textId="76A9D270" w:rsidTr="00A13BE9">
        <w:trPr>
          <w:cnfStyle w:val="000000010000" w:firstRow="0" w:lastRow="0" w:firstColumn="0" w:lastColumn="0" w:oddVBand="0" w:evenVBand="0" w:oddHBand="0" w:evenHBand="1" w:firstRowFirstColumn="0" w:firstRowLastColumn="0" w:lastRowFirstColumn="0" w:lastRowLastColumn="0"/>
        </w:trPr>
        <w:tc>
          <w:tcPr>
            <w:tcW w:w="2160" w:type="dxa"/>
            <w:tcMar>
              <w:top w:w="58" w:type="dxa"/>
              <w:left w:w="115" w:type="dxa"/>
              <w:bottom w:w="58" w:type="dxa"/>
              <w:right w:w="115" w:type="dxa"/>
            </w:tcMar>
          </w:tcPr>
          <w:p w14:paraId="0888CA1C" w14:textId="57576CC0" w:rsidR="00F44FA7" w:rsidRPr="00F44FA7" w:rsidRDefault="00F44FA7" w:rsidP="00F44FA7">
            <w:pPr>
              <w:pStyle w:val="TableText"/>
            </w:pPr>
          </w:p>
        </w:tc>
        <w:tc>
          <w:tcPr>
            <w:tcW w:w="3495" w:type="dxa"/>
          </w:tcPr>
          <w:p w14:paraId="5A9B6848" w14:textId="1E2F3D8B" w:rsidR="00F44FA7" w:rsidRDefault="00F44FA7" w:rsidP="00F44FA7">
            <w:pPr>
              <w:pStyle w:val="TableText"/>
              <w:ind w:left="18"/>
            </w:pPr>
          </w:p>
        </w:tc>
        <w:tc>
          <w:tcPr>
            <w:tcW w:w="3705" w:type="dxa"/>
          </w:tcPr>
          <w:p w14:paraId="6BFAFBF6" w14:textId="77777777" w:rsidR="00F44FA7" w:rsidRDefault="00F44FA7" w:rsidP="00F44FA7">
            <w:pPr>
              <w:pStyle w:val="TableText"/>
              <w:ind w:left="18"/>
            </w:pPr>
          </w:p>
        </w:tc>
      </w:tr>
    </w:tbl>
    <w:p w14:paraId="1515A126" w14:textId="048B5E9D" w:rsidR="004957E2" w:rsidRDefault="004957E2" w:rsidP="00591A5C">
      <w:pPr>
        <w:pStyle w:val="TableTitles"/>
        <w:pBdr>
          <w:top w:val="none" w:sz="0" w:space="0" w:color="auto"/>
        </w:pBdr>
        <w:spacing w:before="360"/>
      </w:pPr>
      <w:r>
        <w:t>Revision History</w:t>
      </w:r>
    </w:p>
    <w:tbl>
      <w:tblPr>
        <w:tblStyle w:val="eHealthTable"/>
        <w:tblW w:w="9360" w:type="dxa"/>
        <w:tblLayout w:type="fixed"/>
        <w:tblLook w:val="04A0" w:firstRow="1" w:lastRow="0" w:firstColumn="1" w:lastColumn="0" w:noHBand="0" w:noVBand="1"/>
      </w:tblPr>
      <w:tblGrid>
        <w:gridCol w:w="1157"/>
        <w:gridCol w:w="1183"/>
        <w:gridCol w:w="4500"/>
        <w:gridCol w:w="2520"/>
      </w:tblGrid>
      <w:tr w:rsidR="00F44FA7" w14:paraId="41213107" w14:textId="77777777" w:rsidTr="0B0BAE83">
        <w:trPr>
          <w:cnfStyle w:val="100000000000" w:firstRow="1" w:lastRow="0" w:firstColumn="0" w:lastColumn="0" w:oddVBand="0" w:evenVBand="0" w:oddHBand="0" w:evenHBand="0" w:firstRowFirstColumn="0" w:firstRowLastColumn="0" w:lastRowFirstColumn="0" w:lastRowLastColumn="0"/>
          <w:tblHeader/>
        </w:trPr>
        <w:tc>
          <w:tcPr>
            <w:tcW w:w="1157" w:type="dxa"/>
            <w:tcMar>
              <w:top w:w="58" w:type="dxa"/>
              <w:left w:w="115" w:type="dxa"/>
              <w:bottom w:w="58" w:type="dxa"/>
              <w:right w:w="115" w:type="dxa"/>
            </w:tcMar>
          </w:tcPr>
          <w:p w14:paraId="28C9DC32" w14:textId="2548481A" w:rsidR="00F44FA7" w:rsidRDefault="00F44FA7" w:rsidP="009E4726">
            <w:pPr>
              <w:pStyle w:val="TableText"/>
              <w:keepNext/>
              <w:spacing w:after="100"/>
            </w:pPr>
            <w:r>
              <w:t>Version No.</w:t>
            </w:r>
          </w:p>
        </w:tc>
        <w:tc>
          <w:tcPr>
            <w:tcW w:w="1183" w:type="dxa"/>
          </w:tcPr>
          <w:p w14:paraId="6311376A" w14:textId="62935E8E" w:rsidR="00F44FA7" w:rsidRDefault="00F44FA7" w:rsidP="009E4726">
            <w:pPr>
              <w:pStyle w:val="TableText"/>
              <w:keepNext/>
              <w:spacing w:after="100"/>
            </w:pPr>
            <w:r>
              <w:t>Date</w:t>
            </w:r>
          </w:p>
        </w:tc>
        <w:tc>
          <w:tcPr>
            <w:tcW w:w="4500" w:type="dxa"/>
          </w:tcPr>
          <w:p w14:paraId="37AC3FFE" w14:textId="73E28AA5" w:rsidR="00F44FA7" w:rsidRDefault="00F44FA7" w:rsidP="009E4726">
            <w:pPr>
              <w:pStyle w:val="TableText"/>
              <w:keepNext/>
              <w:spacing w:after="100"/>
            </w:pPr>
            <w:r>
              <w:t>Summary of Change</w:t>
            </w:r>
          </w:p>
        </w:tc>
        <w:tc>
          <w:tcPr>
            <w:tcW w:w="2520" w:type="dxa"/>
          </w:tcPr>
          <w:p w14:paraId="2687C1C4" w14:textId="0324490E" w:rsidR="00F44FA7" w:rsidRDefault="00F44FA7" w:rsidP="009E4726">
            <w:pPr>
              <w:pStyle w:val="TableText"/>
              <w:keepNext/>
              <w:spacing w:after="100"/>
            </w:pPr>
            <w:r>
              <w:t>Changed By</w:t>
            </w:r>
          </w:p>
        </w:tc>
      </w:tr>
      <w:tr w:rsidR="00F40047" w14:paraId="3AAA6265" w14:textId="77777777" w:rsidTr="0B0BAE83">
        <w:trPr>
          <w:cnfStyle w:val="000000100000" w:firstRow="0" w:lastRow="0" w:firstColumn="0" w:lastColumn="0" w:oddVBand="0" w:evenVBand="0" w:oddHBand="1" w:evenHBand="0" w:firstRowFirstColumn="0" w:firstRowLastColumn="0" w:lastRowFirstColumn="0" w:lastRowLastColumn="0"/>
        </w:trPr>
        <w:tc>
          <w:tcPr>
            <w:tcW w:w="1157" w:type="dxa"/>
            <w:tcMar>
              <w:top w:w="58" w:type="dxa"/>
              <w:left w:w="115" w:type="dxa"/>
              <w:bottom w:w="58" w:type="dxa"/>
              <w:right w:w="115" w:type="dxa"/>
            </w:tcMar>
          </w:tcPr>
          <w:p w14:paraId="3162B58E" w14:textId="2D8F2167" w:rsidR="00F40047" w:rsidRPr="00F44FA7" w:rsidRDefault="00F40047" w:rsidP="00F40047">
            <w:pPr>
              <w:pStyle w:val="TableText"/>
            </w:pPr>
            <w:r>
              <w:t>1.0</w:t>
            </w:r>
          </w:p>
        </w:tc>
        <w:tc>
          <w:tcPr>
            <w:tcW w:w="1183" w:type="dxa"/>
          </w:tcPr>
          <w:p w14:paraId="32DBE486" w14:textId="67012942" w:rsidR="00F40047" w:rsidRPr="00AE5648" w:rsidRDefault="00F40047" w:rsidP="00F40047">
            <w:pPr>
              <w:pStyle w:val="TableText"/>
              <w:ind w:left="18"/>
            </w:pPr>
            <w:r>
              <w:t>2015-07-03</w:t>
            </w:r>
          </w:p>
        </w:tc>
        <w:tc>
          <w:tcPr>
            <w:tcW w:w="4500" w:type="dxa"/>
          </w:tcPr>
          <w:p w14:paraId="6A7D40B1" w14:textId="3298B5B3" w:rsidR="00F40047" w:rsidRDefault="00F40047" w:rsidP="00F40047">
            <w:pPr>
              <w:pStyle w:val="TableText"/>
              <w:ind w:left="18"/>
            </w:pPr>
            <w:r>
              <w:t>Final for publication</w:t>
            </w:r>
          </w:p>
        </w:tc>
        <w:tc>
          <w:tcPr>
            <w:tcW w:w="2520" w:type="dxa"/>
          </w:tcPr>
          <w:p w14:paraId="38DABDA6" w14:textId="33739E5D" w:rsidR="00F40047" w:rsidRDefault="00F40047" w:rsidP="00F40047">
            <w:pPr>
              <w:pStyle w:val="TableText"/>
              <w:ind w:left="18"/>
            </w:pPr>
            <w:r>
              <w:t>eHealth Ontario</w:t>
            </w:r>
          </w:p>
        </w:tc>
      </w:tr>
      <w:tr w:rsidR="00F40047" w14:paraId="402AB937" w14:textId="77777777" w:rsidTr="0B0BAE83">
        <w:trPr>
          <w:cnfStyle w:val="000000010000" w:firstRow="0" w:lastRow="0" w:firstColumn="0" w:lastColumn="0" w:oddVBand="0" w:evenVBand="0" w:oddHBand="0" w:evenHBand="1" w:firstRowFirstColumn="0" w:firstRowLastColumn="0" w:lastRowFirstColumn="0" w:lastRowLastColumn="0"/>
        </w:trPr>
        <w:tc>
          <w:tcPr>
            <w:tcW w:w="1157" w:type="dxa"/>
            <w:tcMar>
              <w:top w:w="58" w:type="dxa"/>
              <w:left w:w="115" w:type="dxa"/>
              <w:bottom w:w="58" w:type="dxa"/>
              <w:right w:w="115" w:type="dxa"/>
            </w:tcMar>
          </w:tcPr>
          <w:p w14:paraId="358D9568" w14:textId="277F5D02" w:rsidR="00F40047" w:rsidRPr="00F44FA7" w:rsidRDefault="00F40047" w:rsidP="00F40047">
            <w:pPr>
              <w:pStyle w:val="TableText"/>
            </w:pPr>
            <w:r>
              <w:t>1.1</w:t>
            </w:r>
          </w:p>
        </w:tc>
        <w:tc>
          <w:tcPr>
            <w:tcW w:w="1183" w:type="dxa"/>
          </w:tcPr>
          <w:p w14:paraId="13A99305" w14:textId="5C1FEC6B" w:rsidR="00F40047" w:rsidRPr="00AE5648" w:rsidRDefault="00F40047" w:rsidP="00F40047">
            <w:pPr>
              <w:pStyle w:val="TableText"/>
              <w:ind w:left="18"/>
            </w:pPr>
            <w:r>
              <w:t>2015-07-24</w:t>
            </w:r>
          </w:p>
        </w:tc>
        <w:tc>
          <w:tcPr>
            <w:tcW w:w="4500" w:type="dxa"/>
          </w:tcPr>
          <w:p w14:paraId="27FA76F0" w14:textId="4FBDA4C7" w:rsidR="00F40047" w:rsidRDefault="00F40047" w:rsidP="00F40047">
            <w:pPr>
              <w:pStyle w:val="TableText"/>
              <w:ind w:left="18"/>
            </w:pPr>
            <w:r>
              <w:t>Update per MOHLTC request July 16, 2015</w:t>
            </w:r>
          </w:p>
        </w:tc>
        <w:tc>
          <w:tcPr>
            <w:tcW w:w="2520" w:type="dxa"/>
          </w:tcPr>
          <w:p w14:paraId="6B79F14B" w14:textId="7603EA73" w:rsidR="00F40047" w:rsidRDefault="00F40047" w:rsidP="00F40047">
            <w:pPr>
              <w:pStyle w:val="TableText"/>
              <w:ind w:left="18"/>
            </w:pPr>
            <w:r>
              <w:t>eHealth Ontario</w:t>
            </w:r>
          </w:p>
        </w:tc>
      </w:tr>
      <w:tr w:rsidR="00F40047" w14:paraId="1962ACEC" w14:textId="77777777" w:rsidTr="0B0BAE83">
        <w:trPr>
          <w:cnfStyle w:val="000000100000" w:firstRow="0" w:lastRow="0" w:firstColumn="0" w:lastColumn="0" w:oddVBand="0" w:evenVBand="0" w:oddHBand="1" w:evenHBand="0" w:firstRowFirstColumn="0" w:firstRowLastColumn="0" w:lastRowFirstColumn="0" w:lastRowLastColumn="0"/>
        </w:trPr>
        <w:tc>
          <w:tcPr>
            <w:tcW w:w="1157" w:type="dxa"/>
            <w:tcMar>
              <w:top w:w="58" w:type="dxa"/>
              <w:left w:w="115" w:type="dxa"/>
              <w:bottom w:w="58" w:type="dxa"/>
              <w:right w:w="115" w:type="dxa"/>
            </w:tcMar>
          </w:tcPr>
          <w:p w14:paraId="42104D45" w14:textId="39675350" w:rsidR="00F40047" w:rsidRPr="00F44FA7" w:rsidRDefault="00F40047" w:rsidP="00F40047">
            <w:pPr>
              <w:pStyle w:val="TableText"/>
            </w:pPr>
            <w:r>
              <w:t>1.2</w:t>
            </w:r>
          </w:p>
        </w:tc>
        <w:tc>
          <w:tcPr>
            <w:tcW w:w="1183" w:type="dxa"/>
          </w:tcPr>
          <w:p w14:paraId="06712530" w14:textId="4BF408EA" w:rsidR="00F40047" w:rsidRDefault="00F40047" w:rsidP="00F40047">
            <w:pPr>
              <w:pStyle w:val="TableText"/>
              <w:ind w:left="18"/>
            </w:pPr>
            <w:r>
              <w:t>2016-10-21</w:t>
            </w:r>
          </w:p>
        </w:tc>
        <w:tc>
          <w:tcPr>
            <w:tcW w:w="4500" w:type="dxa"/>
          </w:tcPr>
          <w:p w14:paraId="0F108E30" w14:textId="6C06E594" w:rsidR="00F40047" w:rsidRDefault="00F40047" w:rsidP="00F40047">
            <w:pPr>
              <w:pStyle w:val="TableText"/>
              <w:ind w:left="18"/>
            </w:pPr>
            <w:r>
              <w:t>Updated links</w:t>
            </w:r>
          </w:p>
        </w:tc>
        <w:tc>
          <w:tcPr>
            <w:tcW w:w="2520" w:type="dxa"/>
          </w:tcPr>
          <w:p w14:paraId="3DAC631A" w14:textId="0F463C8F" w:rsidR="00F40047" w:rsidRDefault="00F40047" w:rsidP="00F40047">
            <w:pPr>
              <w:pStyle w:val="TableText"/>
              <w:ind w:left="18"/>
            </w:pPr>
            <w:r>
              <w:t>eHealth Ontario</w:t>
            </w:r>
          </w:p>
        </w:tc>
      </w:tr>
      <w:tr w:rsidR="00F40047" w14:paraId="1A59562C" w14:textId="77777777" w:rsidTr="0B0BAE83">
        <w:trPr>
          <w:cnfStyle w:val="000000010000" w:firstRow="0" w:lastRow="0" w:firstColumn="0" w:lastColumn="0" w:oddVBand="0" w:evenVBand="0" w:oddHBand="0" w:evenHBand="1" w:firstRowFirstColumn="0" w:firstRowLastColumn="0" w:lastRowFirstColumn="0" w:lastRowLastColumn="0"/>
        </w:trPr>
        <w:tc>
          <w:tcPr>
            <w:tcW w:w="1157" w:type="dxa"/>
            <w:tcMar>
              <w:top w:w="58" w:type="dxa"/>
              <w:left w:w="115" w:type="dxa"/>
              <w:bottom w:w="58" w:type="dxa"/>
              <w:right w:w="115" w:type="dxa"/>
            </w:tcMar>
          </w:tcPr>
          <w:p w14:paraId="7990905B" w14:textId="5FA2402C" w:rsidR="00F40047" w:rsidRPr="00F44FA7" w:rsidRDefault="00F40047" w:rsidP="00F40047">
            <w:pPr>
              <w:pStyle w:val="TableText"/>
            </w:pPr>
            <w:r>
              <w:t>1.3</w:t>
            </w:r>
          </w:p>
        </w:tc>
        <w:tc>
          <w:tcPr>
            <w:tcW w:w="1183" w:type="dxa"/>
          </w:tcPr>
          <w:p w14:paraId="39FEDCDC" w14:textId="6E84B6EA" w:rsidR="00F40047" w:rsidRDefault="00F40047" w:rsidP="00F40047">
            <w:pPr>
              <w:pStyle w:val="TableText"/>
              <w:ind w:left="18"/>
            </w:pPr>
            <w:r>
              <w:t>2016-11-22</w:t>
            </w:r>
          </w:p>
        </w:tc>
        <w:tc>
          <w:tcPr>
            <w:tcW w:w="4500" w:type="dxa"/>
          </w:tcPr>
          <w:p w14:paraId="6461F151" w14:textId="05549002" w:rsidR="00F40047" w:rsidRDefault="00F40047" w:rsidP="00F40047">
            <w:pPr>
              <w:pStyle w:val="TableText"/>
              <w:ind w:left="18"/>
            </w:pPr>
            <w:r w:rsidRPr="002945A9">
              <w:t xml:space="preserve">Added CIHI requirements.  Modified security requirements and updated the POS definition for the </w:t>
            </w:r>
            <w:r w:rsidR="00880716">
              <w:t>P</w:t>
            </w:r>
            <w:r w:rsidRPr="002945A9">
              <w:t xml:space="preserve">rovincial </w:t>
            </w:r>
            <w:r w:rsidR="00880716">
              <w:t>P</w:t>
            </w:r>
            <w:r w:rsidRPr="002945A9">
              <w:t>rovider</w:t>
            </w:r>
            <w:r w:rsidRPr="00046B04">
              <w:t xml:space="preserve"> </w:t>
            </w:r>
            <w:r w:rsidR="00880716">
              <w:t>R</w:t>
            </w:r>
            <w:r w:rsidRPr="00046B04">
              <w:t>egistry specification</w:t>
            </w:r>
            <w:r>
              <w:t>.</w:t>
            </w:r>
          </w:p>
        </w:tc>
        <w:tc>
          <w:tcPr>
            <w:tcW w:w="2520" w:type="dxa"/>
          </w:tcPr>
          <w:p w14:paraId="016BA9AF" w14:textId="148DFA51" w:rsidR="00F40047" w:rsidRDefault="00F40047" w:rsidP="00F40047">
            <w:pPr>
              <w:pStyle w:val="TableText"/>
              <w:ind w:left="18"/>
            </w:pPr>
            <w:r>
              <w:t>eHealth Ontario</w:t>
            </w:r>
          </w:p>
        </w:tc>
      </w:tr>
      <w:tr w:rsidR="00F40047" w14:paraId="633773E6" w14:textId="77777777" w:rsidTr="0B0BAE83">
        <w:trPr>
          <w:cnfStyle w:val="000000100000" w:firstRow="0" w:lastRow="0" w:firstColumn="0" w:lastColumn="0" w:oddVBand="0" w:evenVBand="0" w:oddHBand="1" w:evenHBand="0" w:firstRowFirstColumn="0" w:firstRowLastColumn="0" w:lastRowFirstColumn="0" w:lastRowLastColumn="0"/>
        </w:trPr>
        <w:tc>
          <w:tcPr>
            <w:tcW w:w="1157" w:type="dxa"/>
            <w:tcMar>
              <w:top w:w="58" w:type="dxa"/>
              <w:left w:w="115" w:type="dxa"/>
              <w:bottom w:w="58" w:type="dxa"/>
              <w:right w:w="115" w:type="dxa"/>
            </w:tcMar>
          </w:tcPr>
          <w:p w14:paraId="7AFF070D" w14:textId="296E1342" w:rsidR="00F40047" w:rsidRPr="00F44FA7" w:rsidRDefault="00F40047" w:rsidP="00F40047">
            <w:pPr>
              <w:pStyle w:val="TableText"/>
            </w:pPr>
            <w:r>
              <w:t>1.4</w:t>
            </w:r>
          </w:p>
        </w:tc>
        <w:tc>
          <w:tcPr>
            <w:tcW w:w="1183" w:type="dxa"/>
          </w:tcPr>
          <w:p w14:paraId="24BE6A39" w14:textId="7EE59A52" w:rsidR="00F40047" w:rsidRDefault="00F40047" w:rsidP="00F40047">
            <w:pPr>
              <w:pStyle w:val="TableText"/>
              <w:ind w:left="18"/>
            </w:pPr>
            <w:r>
              <w:t>2017-01-10</w:t>
            </w:r>
          </w:p>
        </w:tc>
        <w:tc>
          <w:tcPr>
            <w:tcW w:w="4500" w:type="dxa"/>
          </w:tcPr>
          <w:p w14:paraId="37FDC0C8" w14:textId="7120D692" w:rsidR="00F40047" w:rsidRDefault="00F40047" w:rsidP="00F40047">
            <w:pPr>
              <w:pStyle w:val="TableText"/>
              <w:ind w:left="18"/>
            </w:pPr>
            <w:r>
              <w:t xml:space="preserve">Formatting </w:t>
            </w:r>
            <w:r w:rsidR="00880716">
              <w:t>f</w:t>
            </w:r>
            <w:r>
              <w:t>ix.</w:t>
            </w:r>
          </w:p>
        </w:tc>
        <w:tc>
          <w:tcPr>
            <w:tcW w:w="2520" w:type="dxa"/>
          </w:tcPr>
          <w:p w14:paraId="1CD99BB7" w14:textId="25C8AA07" w:rsidR="00F40047" w:rsidRDefault="00F40047" w:rsidP="00F40047">
            <w:pPr>
              <w:pStyle w:val="TableText"/>
              <w:ind w:left="18"/>
            </w:pPr>
            <w:r>
              <w:t>eHealth Ontario</w:t>
            </w:r>
          </w:p>
        </w:tc>
      </w:tr>
      <w:tr w:rsidR="00F40047" w14:paraId="5E25F59D" w14:textId="77777777" w:rsidTr="0B0BAE83">
        <w:trPr>
          <w:cnfStyle w:val="000000010000" w:firstRow="0" w:lastRow="0" w:firstColumn="0" w:lastColumn="0" w:oddVBand="0" w:evenVBand="0" w:oddHBand="0" w:evenHBand="1" w:firstRowFirstColumn="0" w:firstRowLastColumn="0" w:lastRowFirstColumn="0" w:lastRowLastColumn="0"/>
        </w:trPr>
        <w:tc>
          <w:tcPr>
            <w:tcW w:w="1157" w:type="dxa"/>
            <w:tcMar>
              <w:top w:w="58" w:type="dxa"/>
              <w:left w:w="115" w:type="dxa"/>
              <w:bottom w:w="58" w:type="dxa"/>
              <w:right w:w="115" w:type="dxa"/>
            </w:tcMar>
          </w:tcPr>
          <w:p w14:paraId="37E7A132" w14:textId="413E596E" w:rsidR="00F40047" w:rsidRPr="00F44FA7" w:rsidRDefault="00F40047" w:rsidP="00F40047">
            <w:pPr>
              <w:pStyle w:val="TableText"/>
            </w:pPr>
            <w:r>
              <w:t>1.5</w:t>
            </w:r>
          </w:p>
        </w:tc>
        <w:tc>
          <w:tcPr>
            <w:tcW w:w="1183" w:type="dxa"/>
          </w:tcPr>
          <w:p w14:paraId="4C1FD84D" w14:textId="0FF99F0A" w:rsidR="00F40047" w:rsidRDefault="00F40047" w:rsidP="00F40047">
            <w:pPr>
              <w:pStyle w:val="TableText"/>
              <w:ind w:left="18"/>
            </w:pPr>
            <w:r>
              <w:t>2017-09-29</w:t>
            </w:r>
          </w:p>
        </w:tc>
        <w:tc>
          <w:tcPr>
            <w:tcW w:w="4500" w:type="dxa"/>
          </w:tcPr>
          <w:p w14:paraId="7CB9D357" w14:textId="76570072" w:rsidR="00F40047" w:rsidRDefault="00F40047" w:rsidP="00F40047">
            <w:pPr>
              <w:pStyle w:val="TableText"/>
              <w:ind w:left="18"/>
            </w:pPr>
            <w:r>
              <w:t>Added DHDR, DHIR, reconcile XDS/CDA/CDR requirements, updated asset inventory reference material, updated security requirements, updated intro with Elements of the EHR, updated SSO spec link to point to 1.5.</w:t>
            </w:r>
          </w:p>
        </w:tc>
        <w:tc>
          <w:tcPr>
            <w:tcW w:w="2520" w:type="dxa"/>
          </w:tcPr>
          <w:p w14:paraId="7FEDBAD8" w14:textId="1E2F95A7" w:rsidR="00F40047" w:rsidRDefault="00F40047" w:rsidP="00F40047">
            <w:pPr>
              <w:pStyle w:val="TableText"/>
              <w:ind w:left="18"/>
            </w:pPr>
            <w:r>
              <w:t>eHealth Ontario</w:t>
            </w:r>
          </w:p>
        </w:tc>
      </w:tr>
      <w:tr w:rsidR="00F40047" w14:paraId="36836849" w14:textId="77777777" w:rsidTr="0B0BAE83">
        <w:trPr>
          <w:cnfStyle w:val="000000100000" w:firstRow="0" w:lastRow="0" w:firstColumn="0" w:lastColumn="0" w:oddVBand="0" w:evenVBand="0" w:oddHBand="1" w:evenHBand="0" w:firstRowFirstColumn="0" w:firstRowLastColumn="0" w:lastRowFirstColumn="0" w:lastRowLastColumn="0"/>
        </w:trPr>
        <w:tc>
          <w:tcPr>
            <w:tcW w:w="1157" w:type="dxa"/>
            <w:tcMar>
              <w:top w:w="58" w:type="dxa"/>
              <w:left w:w="115" w:type="dxa"/>
              <w:bottom w:w="58" w:type="dxa"/>
              <w:right w:w="115" w:type="dxa"/>
            </w:tcMar>
          </w:tcPr>
          <w:p w14:paraId="56DC5513" w14:textId="40B8BCF7" w:rsidR="00F40047" w:rsidRPr="00F44FA7" w:rsidRDefault="008B569C" w:rsidP="00F40047">
            <w:pPr>
              <w:pStyle w:val="TableText"/>
            </w:pPr>
            <w:r>
              <w:t>2.0</w:t>
            </w:r>
          </w:p>
        </w:tc>
        <w:tc>
          <w:tcPr>
            <w:tcW w:w="1183" w:type="dxa"/>
          </w:tcPr>
          <w:p w14:paraId="5DB8A340" w14:textId="7FA714C9" w:rsidR="00F40047" w:rsidRDefault="00A866BA" w:rsidP="00EA25A1">
            <w:pPr>
              <w:pStyle w:val="TableText"/>
              <w:ind w:left="18"/>
            </w:pPr>
            <w:r w:rsidRPr="00704548">
              <w:t>2020-</w:t>
            </w:r>
            <w:r w:rsidR="00EA25A1" w:rsidRPr="00704548">
              <w:t>07</w:t>
            </w:r>
            <w:r w:rsidR="008B569C" w:rsidRPr="00704548">
              <w:t>-</w:t>
            </w:r>
            <w:r w:rsidR="00EA25A1" w:rsidRPr="00704548">
              <w:t>16</w:t>
            </w:r>
          </w:p>
        </w:tc>
        <w:tc>
          <w:tcPr>
            <w:tcW w:w="4500" w:type="dxa"/>
          </w:tcPr>
          <w:p w14:paraId="0F5BB6EE" w14:textId="1EFF80C0" w:rsidR="00F40047" w:rsidRDefault="00704548" w:rsidP="00EA25A1">
            <w:pPr>
              <w:pStyle w:val="TableText"/>
              <w:ind w:left="18"/>
            </w:pPr>
            <w:r>
              <w:t>Updated to include new assets and standard interfaces.</w:t>
            </w:r>
          </w:p>
        </w:tc>
        <w:tc>
          <w:tcPr>
            <w:tcW w:w="2520" w:type="dxa"/>
          </w:tcPr>
          <w:p w14:paraId="4C85726C" w14:textId="2EB07AFB" w:rsidR="00F40047" w:rsidRDefault="008B569C" w:rsidP="00F40047">
            <w:pPr>
              <w:pStyle w:val="TableText"/>
              <w:ind w:left="18"/>
            </w:pPr>
            <w:r>
              <w:t>Ontario Health Digital Services</w:t>
            </w:r>
          </w:p>
        </w:tc>
      </w:tr>
      <w:tr w:rsidR="00F40047" w14:paraId="3D7246D6" w14:textId="77777777" w:rsidTr="0B0BAE83">
        <w:trPr>
          <w:cnfStyle w:val="000000010000" w:firstRow="0" w:lastRow="0" w:firstColumn="0" w:lastColumn="0" w:oddVBand="0" w:evenVBand="0" w:oddHBand="0" w:evenHBand="1" w:firstRowFirstColumn="0" w:firstRowLastColumn="0" w:lastRowFirstColumn="0" w:lastRowLastColumn="0"/>
        </w:trPr>
        <w:tc>
          <w:tcPr>
            <w:tcW w:w="1157" w:type="dxa"/>
            <w:tcMar>
              <w:top w:w="58" w:type="dxa"/>
              <w:left w:w="115" w:type="dxa"/>
              <w:bottom w:w="58" w:type="dxa"/>
              <w:right w:w="115" w:type="dxa"/>
            </w:tcMar>
          </w:tcPr>
          <w:p w14:paraId="5FABBF45" w14:textId="18B81894" w:rsidR="00F40047" w:rsidRPr="00F44FA7" w:rsidRDefault="070A0E42" w:rsidP="00F40047">
            <w:pPr>
              <w:pStyle w:val="TableText"/>
            </w:pPr>
            <w:r>
              <w:t>2.1</w:t>
            </w:r>
          </w:p>
        </w:tc>
        <w:tc>
          <w:tcPr>
            <w:tcW w:w="1183" w:type="dxa"/>
          </w:tcPr>
          <w:p w14:paraId="5AD596C0" w14:textId="50D588BE" w:rsidR="00F40047" w:rsidRDefault="070A0E42" w:rsidP="00F40047">
            <w:pPr>
              <w:pStyle w:val="TableText"/>
              <w:ind w:left="18"/>
            </w:pPr>
            <w:r>
              <w:t>2020-09-</w:t>
            </w:r>
            <w:r w:rsidR="0044730D">
              <w:t>10</w:t>
            </w:r>
          </w:p>
        </w:tc>
        <w:tc>
          <w:tcPr>
            <w:tcW w:w="4500" w:type="dxa"/>
          </w:tcPr>
          <w:p w14:paraId="4F05380A" w14:textId="23435457" w:rsidR="00F40047" w:rsidRDefault="070A0E42" w:rsidP="00F40047">
            <w:pPr>
              <w:pStyle w:val="TableText"/>
              <w:ind w:left="18"/>
            </w:pPr>
            <w:r>
              <w:t>Updated to include SC/BTC feedback</w:t>
            </w:r>
          </w:p>
        </w:tc>
        <w:tc>
          <w:tcPr>
            <w:tcW w:w="2520" w:type="dxa"/>
          </w:tcPr>
          <w:p w14:paraId="1643ADE1" w14:textId="6B5B4979" w:rsidR="00F40047" w:rsidRDefault="070A0E42" w:rsidP="00F40047">
            <w:pPr>
              <w:pStyle w:val="TableText"/>
              <w:ind w:left="18"/>
            </w:pPr>
            <w:r>
              <w:t>Ontario Health Digital Services</w:t>
            </w:r>
          </w:p>
        </w:tc>
      </w:tr>
      <w:tr w:rsidR="005B28B0" w14:paraId="290CAD62" w14:textId="77777777" w:rsidTr="0B0BAE83">
        <w:trPr>
          <w:cnfStyle w:val="000000100000" w:firstRow="0" w:lastRow="0" w:firstColumn="0" w:lastColumn="0" w:oddVBand="0" w:evenVBand="0" w:oddHBand="1" w:evenHBand="0" w:firstRowFirstColumn="0" w:firstRowLastColumn="0" w:lastRowFirstColumn="0" w:lastRowLastColumn="0"/>
        </w:trPr>
        <w:tc>
          <w:tcPr>
            <w:tcW w:w="1157" w:type="dxa"/>
            <w:tcMar>
              <w:top w:w="58" w:type="dxa"/>
              <w:left w:w="115" w:type="dxa"/>
              <w:bottom w:w="58" w:type="dxa"/>
              <w:right w:w="115" w:type="dxa"/>
            </w:tcMar>
          </w:tcPr>
          <w:p w14:paraId="27A091D2" w14:textId="23EF8547" w:rsidR="005B28B0" w:rsidDel="005B28B0" w:rsidRDefault="005B28B0" w:rsidP="00F40047">
            <w:pPr>
              <w:pStyle w:val="TableText"/>
            </w:pPr>
            <w:r>
              <w:t>2.2</w:t>
            </w:r>
          </w:p>
        </w:tc>
        <w:tc>
          <w:tcPr>
            <w:tcW w:w="1183" w:type="dxa"/>
          </w:tcPr>
          <w:p w14:paraId="5606F29D" w14:textId="2683F36C" w:rsidR="005B28B0" w:rsidRDefault="005B28B0" w:rsidP="00F40047">
            <w:pPr>
              <w:pStyle w:val="TableText"/>
              <w:ind w:left="18"/>
            </w:pPr>
            <w:r>
              <w:t>2020-09-16</w:t>
            </w:r>
          </w:p>
        </w:tc>
        <w:tc>
          <w:tcPr>
            <w:tcW w:w="4500" w:type="dxa"/>
          </w:tcPr>
          <w:p w14:paraId="63965C41" w14:textId="2626549E" w:rsidR="005B28B0" w:rsidRDefault="005B28B0" w:rsidP="00F40047">
            <w:pPr>
              <w:pStyle w:val="TableText"/>
              <w:ind w:left="18"/>
            </w:pPr>
            <w:r>
              <w:t xml:space="preserve">Updated to include </w:t>
            </w:r>
            <w:r w:rsidR="001548CD">
              <w:t xml:space="preserve">additional </w:t>
            </w:r>
            <w:r>
              <w:t>feedback from SC/BTC</w:t>
            </w:r>
          </w:p>
        </w:tc>
        <w:tc>
          <w:tcPr>
            <w:tcW w:w="2520" w:type="dxa"/>
          </w:tcPr>
          <w:p w14:paraId="1A5E270C" w14:textId="3BDC2196" w:rsidR="005B28B0" w:rsidRDefault="005B28B0" w:rsidP="00F40047">
            <w:pPr>
              <w:pStyle w:val="TableText"/>
              <w:ind w:left="18"/>
            </w:pPr>
            <w:r>
              <w:t>Ontario Health Digital Services</w:t>
            </w:r>
          </w:p>
        </w:tc>
      </w:tr>
    </w:tbl>
    <w:p w14:paraId="704BA748" w14:textId="77777777" w:rsidR="00F44FA7" w:rsidRPr="00F44FA7" w:rsidRDefault="00F44FA7" w:rsidP="00F44FA7">
      <w:pPr>
        <w:rPr>
          <w:lang w:eastAsia="ja-JP"/>
        </w:rPr>
      </w:pPr>
    </w:p>
    <w:p w14:paraId="764BA843" w14:textId="2000C7FF" w:rsidR="004314AC" w:rsidRDefault="00944E5E" w:rsidP="00A866BA">
      <w:pPr>
        <w:pStyle w:val="TOCTitle"/>
      </w:pPr>
      <w:r>
        <w:lastRenderedPageBreak/>
        <w:t>Contents</w:t>
      </w:r>
      <w:bookmarkEnd w:id="1"/>
    </w:p>
    <w:p w14:paraId="626336AF" w14:textId="5BBA5E96" w:rsidR="00A704AB" w:rsidRDefault="00103453">
      <w:pPr>
        <w:pStyle w:val="TOC1"/>
        <w:rPr>
          <w:rFonts w:asciiTheme="minorHAnsi" w:hAnsiTheme="minorHAnsi"/>
          <w:b w:val="0"/>
          <w:sz w:val="22"/>
          <w:lang w:val="en-US" w:eastAsia="en-US"/>
        </w:rPr>
      </w:pPr>
      <w:r>
        <w:rPr>
          <w:rFonts w:ascii="Arial" w:hAnsi="Arial" w:cs="Arial"/>
          <w:color w:val="000000"/>
          <w:sz w:val="17"/>
          <w:szCs w:val="17"/>
        </w:rPr>
        <w:fldChar w:fldCharType="begin"/>
      </w:r>
      <w:r>
        <w:rPr>
          <w:rFonts w:ascii="Arial" w:hAnsi="Arial" w:cs="Arial"/>
          <w:color w:val="000000"/>
          <w:sz w:val="17"/>
          <w:szCs w:val="17"/>
        </w:rPr>
        <w:instrText xml:space="preserve"> TOC \o "3-3" \h \z \t "Heading 1,1,Heading 2,2,Appendix - Level 1,1,Appendix - Level 2,2" </w:instrText>
      </w:r>
      <w:r>
        <w:rPr>
          <w:rFonts w:ascii="Arial" w:hAnsi="Arial" w:cs="Arial"/>
          <w:color w:val="000000"/>
          <w:sz w:val="17"/>
          <w:szCs w:val="17"/>
        </w:rPr>
        <w:fldChar w:fldCharType="separate"/>
      </w:r>
      <w:hyperlink w:anchor="_Toc54610984" w:history="1">
        <w:r w:rsidR="00A704AB" w:rsidRPr="008F6EB9">
          <w:rPr>
            <w:rStyle w:val="Hyperlink"/>
          </w:rPr>
          <w:t>1.0</w:t>
        </w:r>
        <w:r w:rsidR="00A704AB">
          <w:rPr>
            <w:rFonts w:asciiTheme="minorHAnsi" w:hAnsiTheme="minorHAnsi"/>
            <w:b w:val="0"/>
            <w:sz w:val="22"/>
            <w:lang w:val="en-US" w:eastAsia="en-US"/>
          </w:rPr>
          <w:tab/>
        </w:r>
        <w:r w:rsidR="00A704AB" w:rsidRPr="008F6EB9">
          <w:rPr>
            <w:rStyle w:val="Hyperlink"/>
          </w:rPr>
          <w:t>Introduction</w:t>
        </w:r>
        <w:r w:rsidR="00A704AB">
          <w:rPr>
            <w:webHidden/>
          </w:rPr>
          <w:tab/>
        </w:r>
        <w:r w:rsidR="00A704AB">
          <w:rPr>
            <w:webHidden/>
          </w:rPr>
          <w:fldChar w:fldCharType="begin"/>
        </w:r>
        <w:r w:rsidR="00A704AB">
          <w:rPr>
            <w:webHidden/>
          </w:rPr>
          <w:instrText xml:space="preserve"> PAGEREF _Toc54610984 \h </w:instrText>
        </w:r>
        <w:r w:rsidR="00A704AB">
          <w:rPr>
            <w:webHidden/>
          </w:rPr>
        </w:r>
        <w:r w:rsidR="00A704AB">
          <w:rPr>
            <w:webHidden/>
          </w:rPr>
          <w:fldChar w:fldCharType="separate"/>
        </w:r>
        <w:r w:rsidR="00A704AB">
          <w:rPr>
            <w:webHidden/>
          </w:rPr>
          <w:t>1</w:t>
        </w:r>
        <w:r w:rsidR="00A704AB">
          <w:rPr>
            <w:webHidden/>
          </w:rPr>
          <w:fldChar w:fldCharType="end"/>
        </w:r>
      </w:hyperlink>
    </w:p>
    <w:p w14:paraId="1335B995" w14:textId="21B4A227" w:rsidR="00A704AB" w:rsidRDefault="00D92A6E">
      <w:pPr>
        <w:pStyle w:val="TOC2"/>
        <w:rPr>
          <w:rFonts w:asciiTheme="minorHAnsi" w:hAnsiTheme="minorHAnsi"/>
          <w:sz w:val="22"/>
          <w:lang w:val="en-US" w:eastAsia="en-US"/>
        </w:rPr>
      </w:pPr>
      <w:hyperlink w:anchor="_Toc54610985" w:history="1">
        <w:r w:rsidR="00A704AB" w:rsidRPr="008F6EB9">
          <w:rPr>
            <w:rStyle w:val="Hyperlink"/>
          </w:rPr>
          <w:t>1.1</w:t>
        </w:r>
        <w:r w:rsidR="00A704AB">
          <w:rPr>
            <w:rFonts w:asciiTheme="minorHAnsi" w:hAnsiTheme="minorHAnsi"/>
            <w:sz w:val="22"/>
            <w:lang w:val="en-US" w:eastAsia="en-US"/>
          </w:rPr>
          <w:tab/>
        </w:r>
        <w:r w:rsidR="00A704AB" w:rsidRPr="008F6EB9">
          <w:rPr>
            <w:rStyle w:val="Hyperlink"/>
          </w:rPr>
          <w:t>Purpose</w:t>
        </w:r>
        <w:r w:rsidR="00A704AB">
          <w:rPr>
            <w:webHidden/>
          </w:rPr>
          <w:tab/>
        </w:r>
        <w:r w:rsidR="00A704AB">
          <w:rPr>
            <w:webHidden/>
          </w:rPr>
          <w:fldChar w:fldCharType="begin"/>
        </w:r>
        <w:r w:rsidR="00A704AB">
          <w:rPr>
            <w:webHidden/>
          </w:rPr>
          <w:instrText xml:space="preserve"> PAGEREF _Toc54610985 \h </w:instrText>
        </w:r>
        <w:r w:rsidR="00A704AB">
          <w:rPr>
            <w:webHidden/>
          </w:rPr>
        </w:r>
        <w:r w:rsidR="00A704AB">
          <w:rPr>
            <w:webHidden/>
          </w:rPr>
          <w:fldChar w:fldCharType="separate"/>
        </w:r>
        <w:r w:rsidR="00A704AB">
          <w:rPr>
            <w:webHidden/>
          </w:rPr>
          <w:t>1</w:t>
        </w:r>
        <w:r w:rsidR="00A704AB">
          <w:rPr>
            <w:webHidden/>
          </w:rPr>
          <w:fldChar w:fldCharType="end"/>
        </w:r>
      </w:hyperlink>
    </w:p>
    <w:p w14:paraId="0F1D5316" w14:textId="15F4516A" w:rsidR="00A704AB" w:rsidRDefault="00D92A6E">
      <w:pPr>
        <w:pStyle w:val="TOC2"/>
        <w:rPr>
          <w:rFonts w:asciiTheme="minorHAnsi" w:hAnsiTheme="minorHAnsi"/>
          <w:sz w:val="22"/>
          <w:lang w:val="en-US" w:eastAsia="en-US"/>
        </w:rPr>
      </w:pPr>
      <w:hyperlink w:anchor="_Toc54610986" w:history="1">
        <w:r w:rsidR="00A704AB" w:rsidRPr="008F6EB9">
          <w:rPr>
            <w:rStyle w:val="Hyperlink"/>
          </w:rPr>
          <w:t>1.2</w:t>
        </w:r>
        <w:r w:rsidR="00A704AB">
          <w:rPr>
            <w:rFonts w:asciiTheme="minorHAnsi" w:hAnsiTheme="minorHAnsi"/>
            <w:sz w:val="22"/>
            <w:lang w:val="en-US" w:eastAsia="en-US"/>
          </w:rPr>
          <w:tab/>
        </w:r>
        <w:r w:rsidR="00A704AB" w:rsidRPr="008F6EB9">
          <w:rPr>
            <w:rStyle w:val="Hyperlink"/>
          </w:rPr>
          <w:t>Background</w:t>
        </w:r>
        <w:r w:rsidR="00A704AB">
          <w:rPr>
            <w:webHidden/>
          </w:rPr>
          <w:tab/>
        </w:r>
        <w:r w:rsidR="00A704AB">
          <w:rPr>
            <w:webHidden/>
          </w:rPr>
          <w:fldChar w:fldCharType="begin"/>
        </w:r>
        <w:r w:rsidR="00A704AB">
          <w:rPr>
            <w:webHidden/>
          </w:rPr>
          <w:instrText xml:space="preserve"> PAGEREF _Toc54610986 \h </w:instrText>
        </w:r>
        <w:r w:rsidR="00A704AB">
          <w:rPr>
            <w:webHidden/>
          </w:rPr>
        </w:r>
        <w:r w:rsidR="00A704AB">
          <w:rPr>
            <w:webHidden/>
          </w:rPr>
          <w:fldChar w:fldCharType="separate"/>
        </w:r>
        <w:r w:rsidR="00A704AB">
          <w:rPr>
            <w:webHidden/>
          </w:rPr>
          <w:t>1</w:t>
        </w:r>
        <w:r w:rsidR="00A704AB">
          <w:rPr>
            <w:webHidden/>
          </w:rPr>
          <w:fldChar w:fldCharType="end"/>
        </w:r>
      </w:hyperlink>
    </w:p>
    <w:p w14:paraId="7309312E" w14:textId="44877F6A" w:rsidR="00A704AB" w:rsidRDefault="00D92A6E">
      <w:pPr>
        <w:pStyle w:val="TOC2"/>
        <w:rPr>
          <w:rFonts w:asciiTheme="minorHAnsi" w:hAnsiTheme="minorHAnsi"/>
          <w:sz w:val="22"/>
          <w:lang w:val="en-US" w:eastAsia="en-US"/>
        </w:rPr>
      </w:pPr>
      <w:hyperlink w:anchor="_Toc54610987" w:history="1">
        <w:r w:rsidR="00A704AB" w:rsidRPr="008F6EB9">
          <w:rPr>
            <w:rStyle w:val="Hyperlink"/>
          </w:rPr>
          <w:t>1.3</w:t>
        </w:r>
        <w:r w:rsidR="00A704AB">
          <w:rPr>
            <w:rFonts w:asciiTheme="minorHAnsi" w:hAnsiTheme="minorHAnsi"/>
            <w:sz w:val="22"/>
            <w:lang w:val="en-US" w:eastAsia="en-US"/>
          </w:rPr>
          <w:tab/>
        </w:r>
        <w:r w:rsidR="00A704AB" w:rsidRPr="008F6EB9">
          <w:rPr>
            <w:rStyle w:val="Hyperlink"/>
          </w:rPr>
          <w:t>Why Connect to the Provincial Electronic Health Record (EHR)?</w:t>
        </w:r>
        <w:r w:rsidR="00A704AB">
          <w:rPr>
            <w:webHidden/>
          </w:rPr>
          <w:tab/>
        </w:r>
        <w:r w:rsidR="00A704AB">
          <w:rPr>
            <w:webHidden/>
          </w:rPr>
          <w:fldChar w:fldCharType="begin"/>
        </w:r>
        <w:r w:rsidR="00A704AB">
          <w:rPr>
            <w:webHidden/>
          </w:rPr>
          <w:instrText xml:space="preserve"> PAGEREF _Toc54610987 \h </w:instrText>
        </w:r>
        <w:r w:rsidR="00A704AB">
          <w:rPr>
            <w:webHidden/>
          </w:rPr>
        </w:r>
        <w:r w:rsidR="00A704AB">
          <w:rPr>
            <w:webHidden/>
          </w:rPr>
          <w:fldChar w:fldCharType="separate"/>
        </w:r>
        <w:r w:rsidR="00A704AB">
          <w:rPr>
            <w:webHidden/>
          </w:rPr>
          <w:t>2</w:t>
        </w:r>
        <w:r w:rsidR="00A704AB">
          <w:rPr>
            <w:webHidden/>
          </w:rPr>
          <w:fldChar w:fldCharType="end"/>
        </w:r>
      </w:hyperlink>
    </w:p>
    <w:p w14:paraId="42B0A8C6" w14:textId="5A4DF7B9" w:rsidR="00A704AB" w:rsidRDefault="00D92A6E">
      <w:pPr>
        <w:pStyle w:val="TOC1"/>
        <w:rPr>
          <w:rFonts w:asciiTheme="minorHAnsi" w:hAnsiTheme="minorHAnsi"/>
          <w:b w:val="0"/>
          <w:sz w:val="22"/>
          <w:lang w:val="en-US" w:eastAsia="en-US"/>
        </w:rPr>
      </w:pPr>
      <w:hyperlink w:anchor="_Toc54610988" w:history="1">
        <w:r w:rsidR="00A704AB" w:rsidRPr="008F6EB9">
          <w:rPr>
            <w:rStyle w:val="Hyperlink"/>
          </w:rPr>
          <w:t>2.0</w:t>
        </w:r>
        <w:r w:rsidR="00A704AB">
          <w:rPr>
            <w:rFonts w:asciiTheme="minorHAnsi" w:hAnsiTheme="minorHAnsi"/>
            <w:b w:val="0"/>
            <w:sz w:val="22"/>
            <w:lang w:val="en-US" w:eastAsia="en-US"/>
          </w:rPr>
          <w:tab/>
        </w:r>
        <w:r w:rsidR="00A704AB" w:rsidRPr="008F6EB9">
          <w:rPr>
            <w:rStyle w:val="Hyperlink"/>
          </w:rPr>
          <w:t>Overview: POS System Requirements and Integration</w:t>
        </w:r>
        <w:r w:rsidR="00A704AB">
          <w:rPr>
            <w:webHidden/>
          </w:rPr>
          <w:tab/>
        </w:r>
        <w:r w:rsidR="00A704AB">
          <w:rPr>
            <w:webHidden/>
          </w:rPr>
          <w:fldChar w:fldCharType="begin"/>
        </w:r>
        <w:r w:rsidR="00A704AB">
          <w:rPr>
            <w:webHidden/>
          </w:rPr>
          <w:instrText xml:space="preserve"> PAGEREF _Toc54610988 \h </w:instrText>
        </w:r>
        <w:r w:rsidR="00A704AB">
          <w:rPr>
            <w:webHidden/>
          </w:rPr>
        </w:r>
        <w:r w:rsidR="00A704AB">
          <w:rPr>
            <w:webHidden/>
          </w:rPr>
          <w:fldChar w:fldCharType="separate"/>
        </w:r>
        <w:r w:rsidR="00A704AB">
          <w:rPr>
            <w:webHidden/>
          </w:rPr>
          <w:t>4</w:t>
        </w:r>
        <w:r w:rsidR="00A704AB">
          <w:rPr>
            <w:webHidden/>
          </w:rPr>
          <w:fldChar w:fldCharType="end"/>
        </w:r>
      </w:hyperlink>
    </w:p>
    <w:p w14:paraId="0E477F89" w14:textId="0C35F354" w:rsidR="00A704AB" w:rsidRDefault="00D92A6E">
      <w:pPr>
        <w:pStyle w:val="TOC1"/>
        <w:rPr>
          <w:rFonts w:asciiTheme="minorHAnsi" w:hAnsiTheme="minorHAnsi"/>
          <w:b w:val="0"/>
          <w:sz w:val="22"/>
          <w:lang w:val="en-US" w:eastAsia="en-US"/>
        </w:rPr>
      </w:pPr>
      <w:hyperlink w:anchor="_Toc54610989" w:history="1">
        <w:r w:rsidR="00A704AB" w:rsidRPr="008F6EB9">
          <w:rPr>
            <w:rStyle w:val="Hyperlink"/>
          </w:rPr>
          <w:t>3.0</w:t>
        </w:r>
        <w:r w:rsidR="00A704AB">
          <w:rPr>
            <w:rFonts w:asciiTheme="minorHAnsi" w:hAnsiTheme="minorHAnsi"/>
            <w:b w:val="0"/>
            <w:sz w:val="22"/>
            <w:lang w:val="en-US" w:eastAsia="en-US"/>
          </w:rPr>
          <w:tab/>
        </w:r>
        <w:r w:rsidR="00A704AB" w:rsidRPr="008F6EB9">
          <w:rPr>
            <w:rStyle w:val="Hyperlink"/>
          </w:rPr>
          <w:t>Provincial Registry Requirements</w:t>
        </w:r>
        <w:r w:rsidR="00A704AB">
          <w:rPr>
            <w:webHidden/>
          </w:rPr>
          <w:tab/>
        </w:r>
        <w:r w:rsidR="00A704AB">
          <w:rPr>
            <w:webHidden/>
          </w:rPr>
          <w:fldChar w:fldCharType="begin"/>
        </w:r>
        <w:r w:rsidR="00A704AB">
          <w:rPr>
            <w:webHidden/>
          </w:rPr>
          <w:instrText xml:space="preserve"> PAGEREF _Toc54610989 \h </w:instrText>
        </w:r>
        <w:r w:rsidR="00A704AB">
          <w:rPr>
            <w:webHidden/>
          </w:rPr>
        </w:r>
        <w:r w:rsidR="00A704AB">
          <w:rPr>
            <w:webHidden/>
          </w:rPr>
          <w:fldChar w:fldCharType="separate"/>
        </w:r>
        <w:r w:rsidR="00A704AB">
          <w:rPr>
            <w:webHidden/>
          </w:rPr>
          <w:t>5</w:t>
        </w:r>
        <w:r w:rsidR="00A704AB">
          <w:rPr>
            <w:webHidden/>
          </w:rPr>
          <w:fldChar w:fldCharType="end"/>
        </w:r>
      </w:hyperlink>
    </w:p>
    <w:p w14:paraId="67F468CF" w14:textId="79774651" w:rsidR="00A704AB" w:rsidRDefault="00D92A6E">
      <w:pPr>
        <w:pStyle w:val="TOC2"/>
        <w:rPr>
          <w:rFonts w:asciiTheme="minorHAnsi" w:hAnsiTheme="minorHAnsi"/>
          <w:sz w:val="22"/>
          <w:lang w:val="en-US" w:eastAsia="en-US"/>
        </w:rPr>
      </w:pPr>
      <w:hyperlink w:anchor="_Toc54610990" w:history="1">
        <w:r w:rsidR="00A704AB" w:rsidRPr="008F6EB9">
          <w:rPr>
            <w:rStyle w:val="Hyperlink"/>
          </w:rPr>
          <w:t>3.1</w:t>
        </w:r>
        <w:r w:rsidR="00A704AB">
          <w:rPr>
            <w:rFonts w:asciiTheme="minorHAnsi" w:hAnsiTheme="minorHAnsi"/>
            <w:sz w:val="22"/>
            <w:lang w:val="en-US" w:eastAsia="en-US"/>
          </w:rPr>
          <w:tab/>
        </w:r>
        <w:r w:rsidR="00A704AB" w:rsidRPr="008F6EB9">
          <w:rPr>
            <w:rStyle w:val="Hyperlink"/>
          </w:rPr>
          <w:t>Provincial Provider Registry (PPR)</w:t>
        </w:r>
        <w:r w:rsidR="00A704AB">
          <w:rPr>
            <w:webHidden/>
          </w:rPr>
          <w:tab/>
        </w:r>
        <w:r w:rsidR="00A704AB">
          <w:rPr>
            <w:webHidden/>
          </w:rPr>
          <w:fldChar w:fldCharType="begin"/>
        </w:r>
        <w:r w:rsidR="00A704AB">
          <w:rPr>
            <w:webHidden/>
          </w:rPr>
          <w:instrText xml:space="preserve"> PAGEREF _Toc54610990 \h </w:instrText>
        </w:r>
        <w:r w:rsidR="00A704AB">
          <w:rPr>
            <w:webHidden/>
          </w:rPr>
        </w:r>
        <w:r w:rsidR="00A704AB">
          <w:rPr>
            <w:webHidden/>
          </w:rPr>
          <w:fldChar w:fldCharType="separate"/>
        </w:r>
        <w:r w:rsidR="00A704AB">
          <w:rPr>
            <w:webHidden/>
          </w:rPr>
          <w:t>5</w:t>
        </w:r>
        <w:r w:rsidR="00A704AB">
          <w:rPr>
            <w:webHidden/>
          </w:rPr>
          <w:fldChar w:fldCharType="end"/>
        </w:r>
      </w:hyperlink>
    </w:p>
    <w:p w14:paraId="2665B653" w14:textId="5696CC2B" w:rsidR="00A704AB" w:rsidRDefault="00D92A6E">
      <w:pPr>
        <w:pStyle w:val="TOC2"/>
        <w:rPr>
          <w:rFonts w:asciiTheme="minorHAnsi" w:hAnsiTheme="minorHAnsi"/>
          <w:sz w:val="22"/>
          <w:lang w:val="en-US" w:eastAsia="en-US"/>
        </w:rPr>
      </w:pPr>
      <w:hyperlink w:anchor="_Toc54610991" w:history="1">
        <w:r w:rsidR="00A704AB" w:rsidRPr="008F6EB9">
          <w:rPr>
            <w:rStyle w:val="Hyperlink"/>
          </w:rPr>
          <w:t>3.2</w:t>
        </w:r>
        <w:r w:rsidR="00A704AB">
          <w:rPr>
            <w:rFonts w:asciiTheme="minorHAnsi" w:hAnsiTheme="minorHAnsi"/>
            <w:sz w:val="22"/>
            <w:lang w:val="en-US" w:eastAsia="en-US"/>
          </w:rPr>
          <w:tab/>
        </w:r>
        <w:r w:rsidR="00A704AB" w:rsidRPr="008F6EB9">
          <w:rPr>
            <w:rStyle w:val="Hyperlink"/>
          </w:rPr>
          <w:t>Provincial Client Registry (PCR)</w:t>
        </w:r>
        <w:r w:rsidR="00A704AB">
          <w:rPr>
            <w:webHidden/>
          </w:rPr>
          <w:tab/>
        </w:r>
        <w:r w:rsidR="00A704AB">
          <w:rPr>
            <w:webHidden/>
          </w:rPr>
          <w:fldChar w:fldCharType="begin"/>
        </w:r>
        <w:r w:rsidR="00A704AB">
          <w:rPr>
            <w:webHidden/>
          </w:rPr>
          <w:instrText xml:space="preserve"> PAGEREF _Toc54610991 \h </w:instrText>
        </w:r>
        <w:r w:rsidR="00A704AB">
          <w:rPr>
            <w:webHidden/>
          </w:rPr>
        </w:r>
        <w:r w:rsidR="00A704AB">
          <w:rPr>
            <w:webHidden/>
          </w:rPr>
          <w:fldChar w:fldCharType="separate"/>
        </w:r>
        <w:r w:rsidR="00A704AB">
          <w:rPr>
            <w:webHidden/>
          </w:rPr>
          <w:t>6</w:t>
        </w:r>
        <w:r w:rsidR="00A704AB">
          <w:rPr>
            <w:webHidden/>
          </w:rPr>
          <w:fldChar w:fldCharType="end"/>
        </w:r>
      </w:hyperlink>
    </w:p>
    <w:p w14:paraId="271061ED" w14:textId="6366F6B4" w:rsidR="00A704AB" w:rsidRDefault="00D92A6E">
      <w:pPr>
        <w:pStyle w:val="TOC1"/>
        <w:rPr>
          <w:rFonts w:asciiTheme="minorHAnsi" w:hAnsiTheme="minorHAnsi"/>
          <w:b w:val="0"/>
          <w:sz w:val="22"/>
          <w:lang w:val="en-US" w:eastAsia="en-US"/>
        </w:rPr>
      </w:pPr>
      <w:hyperlink w:anchor="_Toc54610992" w:history="1">
        <w:r w:rsidR="00A704AB" w:rsidRPr="008F6EB9">
          <w:rPr>
            <w:rStyle w:val="Hyperlink"/>
          </w:rPr>
          <w:t>4.0</w:t>
        </w:r>
        <w:r w:rsidR="00A704AB">
          <w:rPr>
            <w:rFonts w:asciiTheme="minorHAnsi" w:hAnsiTheme="minorHAnsi"/>
            <w:b w:val="0"/>
            <w:sz w:val="22"/>
            <w:lang w:val="en-US" w:eastAsia="en-US"/>
          </w:rPr>
          <w:tab/>
        </w:r>
        <w:r w:rsidR="00A704AB" w:rsidRPr="008F6EB9">
          <w:rPr>
            <w:rStyle w:val="Hyperlink"/>
          </w:rPr>
          <w:t>Clinical Data Repository Requirements</w:t>
        </w:r>
        <w:r w:rsidR="00A704AB">
          <w:rPr>
            <w:webHidden/>
          </w:rPr>
          <w:tab/>
        </w:r>
        <w:r w:rsidR="00A704AB">
          <w:rPr>
            <w:webHidden/>
          </w:rPr>
          <w:fldChar w:fldCharType="begin"/>
        </w:r>
        <w:r w:rsidR="00A704AB">
          <w:rPr>
            <w:webHidden/>
          </w:rPr>
          <w:instrText xml:space="preserve"> PAGEREF _Toc54610992 \h </w:instrText>
        </w:r>
        <w:r w:rsidR="00A704AB">
          <w:rPr>
            <w:webHidden/>
          </w:rPr>
        </w:r>
        <w:r w:rsidR="00A704AB">
          <w:rPr>
            <w:webHidden/>
          </w:rPr>
          <w:fldChar w:fldCharType="separate"/>
        </w:r>
        <w:r w:rsidR="00A704AB">
          <w:rPr>
            <w:webHidden/>
          </w:rPr>
          <w:t>7</w:t>
        </w:r>
        <w:r w:rsidR="00A704AB">
          <w:rPr>
            <w:webHidden/>
          </w:rPr>
          <w:fldChar w:fldCharType="end"/>
        </w:r>
      </w:hyperlink>
    </w:p>
    <w:p w14:paraId="3A89776C" w14:textId="47F26E9A" w:rsidR="00A704AB" w:rsidRDefault="00D92A6E">
      <w:pPr>
        <w:pStyle w:val="TOC2"/>
        <w:rPr>
          <w:rFonts w:asciiTheme="minorHAnsi" w:hAnsiTheme="minorHAnsi"/>
          <w:sz w:val="22"/>
          <w:lang w:val="en-US" w:eastAsia="en-US"/>
        </w:rPr>
      </w:pPr>
      <w:hyperlink w:anchor="_Toc54610993" w:history="1">
        <w:r w:rsidR="00A704AB" w:rsidRPr="008F6EB9">
          <w:rPr>
            <w:rStyle w:val="Hyperlink"/>
          </w:rPr>
          <w:t>4.1</w:t>
        </w:r>
        <w:r w:rsidR="00A704AB">
          <w:rPr>
            <w:rFonts w:asciiTheme="minorHAnsi" w:hAnsiTheme="minorHAnsi"/>
            <w:sz w:val="22"/>
            <w:lang w:val="en-US" w:eastAsia="en-US"/>
          </w:rPr>
          <w:tab/>
        </w:r>
        <w:r w:rsidR="00A704AB" w:rsidRPr="008F6EB9">
          <w:rPr>
            <w:rStyle w:val="Hyperlink"/>
          </w:rPr>
          <w:t>Acute and Community-Care Clinical Data Repository Integration (acCDR)</w:t>
        </w:r>
        <w:r w:rsidR="00A704AB">
          <w:rPr>
            <w:webHidden/>
          </w:rPr>
          <w:tab/>
        </w:r>
        <w:r w:rsidR="00A704AB">
          <w:rPr>
            <w:webHidden/>
          </w:rPr>
          <w:fldChar w:fldCharType="begin"/>
        </w:r>
        <w:r w:rsidR="00A704AB">
          <w:rPr>
            <w:webHidden/>
          </w:rPr>
          <w:instrText xml:space="preserve"> PAGEREF _Toc54610993 \h </w:instrText>
        </w:r>
        <w:r w:rsidR="00A704AB">
          <w:rPr>
            <w:webHidden/>
          </w:rPr>
        </w:r>
        <w:r w:rsidR="00A704AB">
          <w:rPr>
            <w:webHidden/>
          </w:rPr>
          <w:fldChar w:fldCharType="separate"/>
        </w:r>
        <w:r w:rsidR="00A704AB">
          <w:rPr>
            <w:webHidden/>
          </w:rPr>
          <w:t>7</w:t>
        </w:r>
        <w:r w:rsidR="00A704AB">
          <w:rPr>
            <w:webHidden/>
          </w:rPr>
          <w:fldChar w:fldCharType="end"/>
        </w:r>
      </w:hyperlink>
    </w:p>
    <w:p w14:paraId="46B73829" w14:textId="2BAD44B6" w:rsidR="00A704AB" w:rsidRDefault="00D92A6E">
      <w:pPr>
        <w:pStyle w:val="TOC2"/>
        <w:rPr>
          <w:rFonts w:asciiTheme="minorHAnsi" w:hAnsiTheme="minorHAnsi"/>
          <w:sz w:val="22"/>
          <w:lang w:val="en-US" w:eastAsia="en-US"/>
        </w:rPr>
      </w:pPr>
      <w:hyperlink w:anchor="_Toc54610994" w:history="1">
        <w:r w:rsidR="00A704AB" w:rsidRPr="008F6EB9">
          <w:rPr>
            <w:rStyle w:val="Hyperlink"/>
          </w:rPr>
          <w:t>4.2</w:t>
        </w:r>
        <w:r w:rsidR="00A704AB">
          <w:rPr>
            <w:rFonts w:asciiTheme="minorHAnsi" w:hAnsiTheme="minorHAnsi"/>
            <w:sz w:val="22"/>
            <w:lang w:val="en-US" w:eastAsia="en-US"/>
          </w:rPr>
          <w:tab/>
        </w:r>
        <w:r w:rsidR="00A704AB" w:rsidRPr="008F6EB9">
          <w:rPr>
            <w:rStyle w:val="Hyperlink"/>
          </w:rPr>
          <w:t>Lab Results – Ontario Laboratories Information System (OLIS)</w:t>
        </w:r>
        <w:r w:rsidR="00A704AB">
          <w:rPr>
            <w:webHidden/>
          </w:rPr>
          <w:tab/>
        </w:r>
        <w:r w:rsidR="00A704AB">
          <w:rPr>
            <w:webHidden/>
          </w:rPr>
          <w:fldChar w:fldCharType="begin"/>
        </w:r>
        <w:r w:rsidR="00A704AB">
          <w:rPr>
            <w:webHidden/>
          </w:rPr>
          <w:instrText xml:space="preserve"> PAGEREF _Toc54610994 \h </w:instrText>
        </w:r>
        <w:r w:rsidR="00A704AB">
          <w:rPr>
            <w:webHidden/>
          </w:rPr>
        </w:r>
        <w:r w:rsidR="00A704AB">
          <w:rPr>
            <w:webHidden/>
          </w:rPr>
          <w:fldChar w:fldCharType="separate"/>
        </w:r>
        <w:r w:rsidR="00A704AB">
          <w:rPr>
            <w:webHidden/>
          </w:rPr>
          <w:t>8</w:t>
        </w:r>
        <w:r w:rsidR="00A704AB">
          <w:rPr>
            <w:webHidden/>
          </w:rPr>
          <w:fldChar w:fldCharType="end"/>
        </w:r>
      </w:hyperlink>
    </w:p>
    <w:p w14:paraId="7DF25322" w14:textId="39937D8F" w:rsidR="00A704AB" w:rsidRDefault="00D92A6E">
      <w:pPr>
        <w:pStyle w:val="TOC2"/>
        <w:rPr>
          <w:rFonts w:asciiTheme="minorHAnsi" w:hAnsiTheme="minorHAnsi"/>
          <w:sz w:val="22"/>
          <w:lang w:val="en-US" w:eastAsia="en-US"/>
        </w:rPr>
      </w:pPr>
      <w:hyperlink w:anchor="_Toc54610995" w:history="1">
        <w:r w:rsidR="00A704AB" w:rsidRPr="008F6EB9">
          <w:rPr>
            <w:rStyle w:val="Hyperlink"/>
          </w:rPr>
          <w:t>4.3</w:t>
        </w:r>
        <w:r w:rsidR="00A704AB">
          <w:rPr>
            <w:rFonts w:asciiTheme="minorHAnsi" w:hAnsiTheme="minorHAnsi"/>
            <w:sz w:val="22"/>
            <w:lang w:val="en-US" w:eastAsia="en-US"/>
          </w:rPr>
          <w:tab/>
        </w:r>
        <w:r w:rsidR="00A704AB" w:rsidRPr="008F6EB9">
          <w:rPr>
            <w:rStyle w:val="Hyperlink"/>
          </w:rPr>
          <w:t>Digital Health Drug Repository (DHDR)</w:t>
        </w:r>
        <w:r w:rsidR="00A704AB">
          <w:rPr>
            <w:webHidden/>
          </w:rPr>
          <w:tab/>
        </w:r>
        <w:r w:rsidR="00A704AB">
          <w:rPr>
            <w:webHidden/>
          </w:rPr>
          <w:fldChar w:fldCharType="begin"/>
        </w:r>
        <w:r w:rsidR="00A704AB">
          <w:rPr>
            <w:webHidden/>
          </w:rPr>
          <w:instrText xml:space="preserve"> PAGEREF _Toc54610995 \h </w:instrText>
        </w:r>
        <w:r w:rsidR="00A704AB">
          <w:rPr>
            <w:webHidden/>
          </w:rPr>
        </w:r>
        <w:r w:rsidR="00A704AB">
          <w:rPr>
            <w:webHidden/>
          </w:rPr>
          <w:fldChar w:fldCharType="separate"/>
        </w:r>
        <w:r w:rsidR="00A704AB">
          <w:rPr>
            <w:webHidden/>
          </w:rPr>
          <w:t>8</w:t>
        </w:r>
        <w:r w:rsidR="00A704AB">
          <w:rPr>
            <w:webHidden/>
          </w:rPr>
          <w:fldChar w:fldCharType="end"/>
        </w:r>
      </w:hyperlink>
    </w:p>
    <w:p w14:paraId="546C422D" w14:textId="39C18FE1" w:rsidR="00A704AB" w:rsidRDefault="00D92A6E">
      <w:pPr>
        <w:pStyle w:val="TOC2"/>
        <w:rPr>
          <w:rFonts w:asciiTheme="minorHAnsi" w:hAnsiTheme="minorHAnsi"/>
          <w:sz w:val="22"/>
          <w:lang w:val="en-US" w:eastAsia="en-US"/>
        </w:rPr>
      </w:pPr>
      <w:hyperlink w:anchor="_Toc54610996" w:history="1">
        <w:r w:rsidR="00A704AB" w:rsidRPr="008F6EB9">
          <w:rPr>
            <w:rStyle w:val="Hyperlink"/>
          </w:rPr>
          <w:t>4.4</w:t>
        </w:r>
        <w:r w:rsidR="00A704AB">
          <w:rPr>
            <w:rFonts w:asciiTheme="minorHAnsi" w:hAnsiTheme="minorHAnsi"/>
            <w:sz w:val="22"/>
            <w:lang w:val="en-US" w:eastAsia="en-US"/>
          </w:rPr>
          <w:tab/>
        </w:r>
        <w:r w:rsidR="00A704AB" w:rsidRPr="008F6EB9">
          <w:rPr>
            <w:rStyle w:val="Hyperlink"/>
          </w:rPr>
          <w:t>Digital Health Immunization Repository (DHIR)</w:t>
        </w:r>
        <w:r w:rsidR="00A704AB">
          <w:rPr>
            <w:webHidden/>
          </w:rPr>
          <w:tab/>
        </w:r>
        <w:r w:rsidR="00A704AB">
          <w:rPr>
            <w:webHidden/>
          </w:rPr>
          <w:fldChar w:fldCharType="begin"/>
        </w:r>
        <w:r w:rsidR="00A704AB">
          <w:rPr>
            <w:webHidden/>
          </w:rPr>
          <w:instrText xml:space="preserve"> PAGEREF _Toc54610996 \h </w:instrText>
        </w:r>
        <w:r w:rsidR="00A704AB">
          <w:rPr>
            <w:webHidden/>
          </w:rPr>
        </w:r>
        <w:r w:rsidR="00A704AB">
          <w:rPr>
            <w:webHidden/>
          </w:rPr>
          <w:fldChar w:fldCharType="separate"/>
        </w:r>
        <w:r w:rsidR="00A704AB">
          <w:rPr>
            <w:webHidden/>
          </w:rPr>
          <w:t>9</w:t>
        </w:r>
        <w:r w:rsidR="00A704AB">
          <w:rPr>
            <w:webHidden/>
          </w:rPr>
          <w:fldChar w:fldCharType="end"/>
        </w:r>
      </w:hyperlink>
    </w:p>
    <w:p w14:paraId="583397E1" w14:textId="78F7E66C" w:rsidR="00A704AB" w:rsidRDefault="00D92A6E">
      <w:pPr>
        <w:pStyle w:val="TOC2"/>
        <w:rPr>
          <w:rFonts w:asciiTheme="minorHAnsi" w:hAnsiTheme="minorHAnsi"/>
          <w:sz w:val="22"/>
          <w:lang w:val="en-US" w:eastAsia="en-US"/>
        </w:rPr>
      </w:pPr>
      <w:hyperlink w:anchor="_Toc54610997" w:history="1">
        <w:r w:rsidR="00A704AB" w:rsidRPr="008F6EB9">
          <w:rPr>
            <w:rStyle w:val="Hyperlink"/>
          </w:rPr>
          <w:t>4.5</w:t>
        </w:r>
        <w:r w:rsidR="00A704AB">
          <w:rPr>
            <w:rFonts w:asciiTheme="minorHAnsi" w:hAnsiTheme="minorHAnsi"/>
            <w:sz w:val="22"/>
            <w:lang w:val="en-US" w:eastAsia="en-US"/>
          </w:rPr>
          <w:tab/>
        </w:r>
        <w:r w:rsidR="00A704AB" w:rsidRPr="008F6EB9">
          <w:rPr>
            <w:rStyle w:val="Hyperlink"/>
          </w:rPr>
          <w:t>Diagnostic Imaging Repository Integration (Diagnostic Imaging- Common Services)</w:t>
        </w:r>
        <w:r w:rsidR="00A704AB">
          <w:rPr>
            <w:webHidden/>
          </w:rPr>
          <w:tab/>
        </w:r>
        <w:r w:rsidR="00A704AB">
          <w:rPr>
            <w:webHidden/>
          </w:rPr>
          <w:fldChar w:fldCharType="begin"/>
        </w:r>
        <w:r w:rsidR="00A704AB">
          <w:rPr>
            <w:webHidden/>
          </w:rPr>
          <w:instrText xml:space="preserve"> PAGEREF _Toc54610997 \h </w:instrText>
        </w:r>
        <w:r w:rsidR="00A704AB">
          <w:rPr>
            <w:webHidden/>
          </w:rPr>
        </w:r>
        <w:r w:rsidR="00A704AB">
          <w:rPr>
            <w:webHidden/>
          </w:rPr>
          <w:fldChar w:fldCharType="separate"/>
        </w:r>
        <w:r w:rsidR="00A704AB">
          <w:rPr>
            <w:webHidden/>
          </w:rPr>
          <w:t>9</w:t>
        </w:r>
        <w:r w:rsidR="00A704AB">
          <w:rPr>
            <w:webHidden/>
          </w:rPr>
          <w:fldChar w:fldCharType="end"/>
        </w:r>
      </w:hyperlink>
    </w:p>
    <w:p w14:paraId="4E568348" w14:textId="2561C3C9" w:rsidR="00A704AB" w:rsidRDefault="00D92A6E">
      <w:pPr>
        <w:pStyle w:val="TOC1"/>
        <w:rPr>
          <w:rFonts w:asciiTheme="minorHAnsi" w:hAnsiTheme="minorHAnsi"/>
          <w:b w:val="0"/>
          <w:sz w:val="22"/>
          <w:lang w:val="en-US" w:eastAsia="en-US"/>
        </w:rPr>
      </w:pPr>
      <w:hyperlink w:anchor="_Toc54610998" w:history="1">
        <w:r w:rsidR="00A704AB" w:rsidRPr="008F6EB9">
          <w:rPr>
            <w:rStyle w:val="Hyperlink"/>
          </w:rPr>
          <w:t>5.0</w:t>
        </w:r>
        <w:r w:rsidR="00A704AB">
          <w:rPr>
            <w:rFonts w:asciiTheme="minorHAnsi" w:hAnsiTheme="minorHAnsi"/>
            <w:b w:val="0"/>
            <w:sz w:val="22"/>
            <w:lang w:val="en-US" w:eastAsia="en-US"/>
          </w:rPr>
          <w:tab/>
        </w:r>
        <w:r w:rsidR="00A704AB" w:rsidRPr="008F6EB9">
          <w:rPr>
            <w:rStyle w:val="Hyperlink"/>
          </w:rPr>
          <w:t>Secure Communication Requirements</w:t>
        </w:r>
        <w:r w:rsidR="00A704AB">
          <w:rPr>
            <w:webHidden/>
          </w:rPr>
          <w:tab/>
        </w:r>
        <w:r w:rsidR="00A704AB">
          <w:rPr>
            <w:webHidden/>
          </w:rPr>
          <w:fldChar w:fldCharType="begin"/>
        </w:r>
        <w:r w:rsidR="00A704AB">
          <w:rPr>
            <w:webHidden/>
          </w:rPr>
          <w:instrText xml:space="preserve"> PAGEREF _Toc54610998 \h </w:instrText>
        </w:r>
        <w:r w:rsidR="00A704AB">
          <w:rPr>
            <w:webHidden/>
          </w:rPr>
        </w:r>
        <w:r w:rsidR="00A704AB">
          <w:rPr>
            <w:webHidden/>
          </w:rPr>
          <w:fldChar w:fldCharType="separate"/>
        </w:r>
        <w:r w:rsidR="00A704AB">
          <w:rPr>
            <w:webHidden/>
          </w:rPr>
          <w:t>11</w:t>
        </w:r>
        <w:r w:rsidR="00A704AB">
          <w:rPr>
            <w:webHidden/>
          </w:rPr>
          <w:fldChar w:fldCharType="end"/>
        </w:r>
      </w:hyperlink>
    </w:p>
    <w:p w14:paraId="67F73440" w14:textId="00867022" w:rsidR="00A704AB" w:rsidRDefault="00D92A6E">
      <w:pPr>
        <w:pStyle w:val="TOC2"/>
        <w:rPr>
          <w:rFonts w:asciiTheme="minorHAnsi" w:hAnsiTheme="minorHAnsi"/>
          <w:sz w:val="22"/>
          <w:lang w:val="en-US" w:eastAsia="en-US"/>
        </w:rPr>
      </w:pPr>
      <w:hyperlink w:anchor="_Toc54610999" w:history="1">
        <w:r w:rsidR="00A704AB" w:rsidRPr="008F6EB9">
          <w:rPr>
            <w:rStyle w:val="Hyperlink"/>
          </w:rPr>
          <w:t>5.1</w:t>
        </w:r>
        <w:r w:rsidR="00A704AB">
          <w:rPr>
            <w:rFonts w:asciiTheme="minorHAnsi" w:hAnsiTheme="minorHAnsi"/>
            <w:sz w:val="22"/>
            <w:lang w:val="en-US" w:eastAsia="en-US"/>
          </w:rPr>
          <w:tab/>
        </w:r>
        <w:r w:rsidR="00A704AB" w:rsidRPr="008F6EB9">
          <w:rPr>
            <w:rStyle w:val="Hyperlink"/>
          </w:rPr>
          <w:t>HIAL and ONE Access Gateway Transport Interoperability</w:t>
        </w:r>
        <w:r w:rsidR="00A704AB">
          <w:rPr>
            <w:webHidden/>
          </w:rPr>
          <w:tab/>
        </w:r>
        <w:r w:rsidR="00A704AB">
          <w:rPr>
            <w:webHidden/>
          </w:rPr>
          <w:fldChar w:fldCharType="begin"/>
        </w:r>
        <w:r w:rsidR="00A704AB">
          <w:rPr>
            <w:webHidden/>
          </w:rPr>
          <w:instrText xml:space="preserve"> PAGEREF _Toc54610999 \h </w:instrText>
        </w:r>
        <w:r w:rsidR="00A704AB">
          <w:rPr>
            <w:webHidden/>
          </w:rPr>
        </w:r>
        <w:r w:rsidR="00A704AB">
          <w:rPr>
            <w:webHidden/>
          </w:rPr>
          <w:fldChar w:fldCharType="separate"/>
        </w:r>
        <w:r w:rsidR="00A704AB">
          <w:rPr>
            <w:webHidden/>
          </w:rPr>
          <w:t>11</w:t>
        </w:r>
        <w:r w:rsidR="00A704AB">
          <w:rPr>
            <w:webHidden/>
          </w:rPr>
          <w:fldChar w:fldCharType="end"/>
        </w:r>
      </w:hyperlink>
    </w:p>
    <w:p w14:paraId="119C65F3" w14:textId="48B403C7" w:rsidR="00A704AB" w:rsidRDefault="00D92A6E">
      <w:pPr>
        <w:pStyle w:val="TOC2"/>
        <w:rPr>
          <w:rFonts w:asciiTheme="minorHAnsi" w:hAnsiTheme="minorHAnsi"/>
          <w:sz w:val="22"/>
          <w:lang w:val="en-US" w:eastAsia="en-US"/>
        </w:rPr>
      </w:pPr>
      <w:hyperlink w:anchor="_Toc54611000" w:history="1">
        <w:r w:rsidR="00A704AB" w:rsidRPr="008F6EB9">
          <w:rPr>
            <w:rStyle w:val="Hyperlink"/>
          </w:rPr>
          <w:t>5.2</w:t>
        </w:r>
        <w:r w:rsidR="00A704AB">
          <w:rPr>
            <w:rFonts w:asciiTheme="minorHAnsi" w:hAnsiTheme="minorHAnsi"/>
            <w:sz w:val="22"/>
            <w:lang w:val="en-US" w:eastAsia="en-US"/>
          </w:rPr>
          <w:tab/>
        </w:r>
        <w:r w:rsidR="00A704AB" w:rsidRPr="008F6EB9">
          <w:rPr>
            <w:rStyle w:val="Hyperlink"/>
          </w:rPr>
          <w:t>EHR Security Policies and Standards</w:t>
        </w:r>
        <w:r w:rsidR="00A704AB">
          <w:rPr>
            <w:webHidden/>
          </w:rPr>
          <w:tab/>
        </w:r>
        <w:r w:rsidR="00A704AB">
          <w:rPr>
            <w:webHidden/>
          </w:rPr>
          <w:fldChar w:fldCharType="begin"/>
        </w:r>
        <w:r w:rsidR="00A704AB">
          <w:rPr>
            <w:webHidden/>
          </w:rPr>
          <w:instrText xml:space="preserve"> PAGEREF _Toc54611000 \h </w:instrText>
        </w:r>
        <w:r w:rsidR="00A704AB">
          <w:rPr>
            <w:webHidden/>
          </w:rPr>
        </w:r>
        <w:r w:rsidR="00A704AB">
          <w:rPr>
            <w:webHidden/>
          </w:rPr>
          <w:fldChar w:fldCharType="separate"/>
        </w:r>
        <w:r w:rsidR="00A704AB">
          <w:rPr>
            <w:webHidden/>
          </w:rPr>
          <w:t>12</w:t>
        </w:r>
        <w:r w:rsidR="00A704AB">
          <w:rPr>
            <w:webHidden/>
          </w:rPr>
          <w:fldChar w:fldCharType="end"/>
        </w:r>
      </w:hyperlink>
    </w:p>
    <w:p w14:paraId="37FFE7EE" w14:textId="5CAC2FC7" w:rsidR="00A704AB" w:rsidRDefault="00D92A6E">
      <w:pPr>
        <w:pStyle w:val="TOC2"/>
        <w:rPr>
          <w:rFonts w:asciiTheme="minorHAnsi" w:hAnsiTheme="minorHAnsi"/>
          <w:sz w:val="22"/>
          <w:lang w:val="en-US" w:eastAsia="en-US"/>
        </w:rPr>
      </w:pPr>
      <w:hyperlink w:anchor="_Toc54611001" w:history="1">
        <w:r w:rsidR="00A704AB" w:rsidRPr="008F6EB9">
          <w:rPr>
            <w:rStyle w:val="Hyperlink"/>
          </w:rPr>
          <w:t>5.3</w:t>
        </w:r>
        <w:r w:rsidR="00A704AB">
          <w:rPr>
            <w:rFonts w:asciiTheme="minorHAnsi" w:hAnsiTheme="minorHAnsi"/>
            <w:sz w:val="22"/>
            <w:lang w:val="en-US" w:eastAsia="en-US"/>
          </w:rPr>
          <w:tab/>
        </w:r>
        <w:r w:rsidR="00A704AB" w:rsidRPr="008F6EB9">
          <w:rPr>
            <w:rStyle w:val="Hyperlink"/>
          </w:rPr>
          <w:t>Health Report Manager (HRM)</w:t>
        </w:r>
        <w:r w:rsidR="00A704AB">
          <w:rPr>
            <w:webHidden/>
          </w:rPr>
          <w:tab/>
        </w:r>
        <w:r w:rsidR="00A704AB">
          <w:rPr>
            <w:webHidden/>
          </w:rPr>
          <w:fldChar w:fldCharType="begin"/>
        </w:r>
        <w:r w:rsidR="00A704AB">
          <w:rPr>
            <w:webHidden/>
          </w:rPr>
          <w:instrText xml:space="preserve"> PAGEREF _Toc54611001 \h </w:instrText>
        </w:r>
        <w:r w:rsidR="00A704AB">
          <w:rPr>
            <w:webHidden/>
          </w:rPr>
        </w:r>
        <w:r w:rsidR="00A704AB">
          <w:rPr>
            <w:webHidden/>
          </w:rPr>
          <w:fldChar w:fldCharType="separate"/>
        </w:r>
        <w:r w:rsidR="00A704AB">
          <w:rPr>
            <w:webHidden/>
          </w:rPr>
          <w:t>12</w:t>
        </w:r>
        <w:r w:rsidR="00A704AB">
          <w:rPr>
            <w:webHidden/>
          </w:rPr>
          <w:fldChar w:fldCharType="end"/>
        </w:r>
      </w:hyperlink>
    </w:p>
    <w:p w14:paraId="6F716854" w14:textId="46155975" w:rsidR="00A704AB" w:rsidRDefault="00D92A6E">
      <w:pPr>
        <w:pStyle w:val="TOC2"/>
        <w:rPr>
          <w:rFonts w:asciiTheme="minorHAnsi" w:hAnsiTheme="minorHAnsi"/>
          <w:sz w:val="22"/>
          <w:lang w:val="en-US" w:eastAsia="en-US"/>
        </w:rPr>
      </w:pPr>
      <w:hyperlink w:anchor="_Toc54611002" w:history="1">
        <w:r w:rsidR="00A704AB" w:rsidRPr="008F6EB9">
          <w:rPr>
            <w:rStyle w:val="Hyperlink"/>
          </w:rPr>
          <w:t>5.4</w:t>
        </w:r>
        <w:r w:rsidR="00A704AB">
          <w:rPr>
            <w:rFonts w:asciiTheme="minorHAnsi" w:hAnsiTheme="minorHAnsi"/>
            <w:sz w:val="22"/>
            <w:lang w:val="en-US" w:eastAsia="en-US"/>
          </w:rPr>
          <w:tab/>
        </w:r>
        <w:r w:rsidR="00A704AB" w:rsidRPr="008F6EB9">
          <w:rPr>
            <w:rStyle w:val="Hyperlink"/>
          </w:rPr>
          <w:t>eNotification to Home and Community Care &amp; HRM</w:t>
        </w:r>
        <w:r w:rsidR="00A704AB">
          <w:rPr>
            <w:webHidden/>
          </w:rPr>
          <w:tab/>
        </w:r>
        <w:r w:rsidR="00A704AB">
          <w:rPr>
            <w:webHidden/>
          </w:rPr>
          <w:fldChar w:fldCharType="begin"/>
        </w:r>
        <w:r w:rsidR="00A704AB">
          <w:rPr>
            <w:webHidden/>
          </w:rPr>
          <w:instrText xml:space="preserve"> PAGEREF _Toc54611002 \h </w:instrText>
        </w:r>
        <w:r w:rsidR="00A704AB">
          <w:rPr>
            <w:webHidden/>
          </w:rPr>
        </w:r>
        <w:r w:rsidR="00A704AB">
          <w:rPr>
            <w:webHidden/>
          </w:rPr>
          <w:fldChar w:fldCharType="separate"/>
        </w:r>
        <w:r w:rsidR="00A704AB">
          <w:rPr>
            <w:webHidden/>
          </w:rPr>
          <w:t>13</w:t>
        </w:r>
        <w:r w:rsidR="00A704AB">
          <w:rPr>
            <w:webHidden/>
          </w:rPr>
          <w:fldChar w:fldCharType="end"/>
        </w:r>
      </w:hyperlink>
    </w:p>
    <w:p w14:paraId="6CBC5AAB" w14:textId="65E93554" w:rsidR="00A704AB" w:rsidRDefault="00D92A6E">
      <w:pPr>
        <w:pStyle w:val="TOC2"/>
        <w:rPr>
          <w:rFonts w:asciiTheme="minorHAnsi" w:hAnsiTheme="minorHAnsi"/>
          <w:sz w:val="22"/>
          <w:lang w:val="en-US" w:eastAsia="en-US"/>
        </w:rPr>
      </w:pPr>
      <w:hyperlink w:anchor="_Toc54611003" w:history="1">
        <w:r w:rsidR="00A704AB" w:rsidRPr="008F6EB9">
          <w:rPr>
            <w:rStyle w:val="Hyperlink"/>
          </w:rPr>
          <w:t>5.5</w:t>
        </w:r>
        <w:r w:rsidR="00A704AB">
          <w:rPr>
            <w:rFonts w:asciiTheme="minorHAnsi" w:hAnsiTheme="minorHAnsi"/>
            <w:sz w:val="22"/>
            <w:lang w:val="en-US" w:eastAsia="en-US"/>
          </w:rPr>
          <w:tab/>
        </w:r>
        <w:r w:rsidR="00A704AB" w:rsidRPr="008F6EB9">
          <w:rPr>
            <w:rStyle w:val="Hyperlink"/>
          </w:rPr>
          <w:t>eReferral to Home and Community Care</w:t>
        </w:r>
        <w:r w:rsidR="00A704AB">
          <w:rPr>
            <w:webHidden/>
          </w:rPr>
          <w:tab/>
        </w:r>
        <w:r w:rsidR="00A704AB">
          <w:rPr>
            <w:webHidden/>
          </w:rPr>
          <w:fldChar w:fldCharType="begin"/>
        </w:r>
        <w:r w:rsidR="00A704AB">
          <w:rPr>
            <w:webHidden/>
          </w:rPr>
          <w:instrText xml:space="preserve"> PAGEREF _Toc54611003 \h </w:instrText>
        </w:r>
        <w:r w:rsidR="00A704AB">
          <w:rPr>
            <w:webHidden/>
          </w:rPr>
        </w:r>
        <w:r w:rsidR="00A704AB">
          <w:rPr>
            <w:webHidden/>
          </w:rPr>
          <w:fldChar w:fldCharType="separate"/>
        </w:r>
        <w:r w:rsidR="00A704AB">
          <w:rPr>
            <w:webHidden/>
          </w:rPr>
          <w:t>13</w:t>
        </w:r>
        <w:r w:rsidR="00A704AB">
          <w:rPr>
            <w:webHidden/>
          </w:rPr>
          <w:fldChar w:fldCharType="end"/>
        </w:r>
      </w:hyperlink>
    </w:p>
    <w:p w14:paraId="10EF5194" w14:textId="3EBD18F3" w:rsidR="00A704AB" w:rsidRDefault="00D92A6E">
      <w:pPr>
        <w:pStyle w:val="TOC1"/>
        <w:rPr>
          <w:rFonts w:asciiTheme="minorHAnsi" w:hAnsiTheme="minorHAnsi"/>
          <w:b w:val="0"/>
          <w:sz w:val="22"/>
          <w:lang w:val="en-US" w:eastAsia="en-US"/>
        </w:rPr>
      </w:pPr>
      <w:hyperlink w:anchor="_Toc54611004" w:history="1">
        <w:r w:rsidR="00A704AB" w:rsidRPr="008F6EB9">
          <w:rPr>
            <w:rStyle w:val="Hyperlink"/>
          </w:rPr>
          <w:t>6.0</w:t>
        </w:r>
        <w:r w:rsidR="00A704AB">
          <w:rPr>
            <w:rFonts w:asciiTheme="minorHAnsi" w:hAnsiTheme="minorHAnsi"/>
            <w:b w:val="0"/>
            <w:sz w:val="22"/>
            <w:lang w:val="en-US" w:eastAsia="en-US"/>
          </w:rPr>
          <w:tab/>
        </w:r>
        <w:r w:rsidR="00A704AB" w:rsidRPr="008F6EB9">
          <w:rPr>
            <w:rStyle w:val="Hyperlink"/>
          </w:rPr>
          <w:t>Secure Authentication and Access Requirements</w:t>
        </w:r>
        <w:r w:rsidR="00A704AB">
          <w:rPr>
            <w:webHidden/>
          </w:rPr>
          <w:tab/>
        </w:r>
        <w:r w:rsidR="00A704AB">
          <w:rPr>
            <w:webHidden/>
          </w:rPr>
          <w:fldChar w:fldCharType="begin"/>
        </w:r>
        <w:r w:rsidR="00A704AB">
          <w:rPr>
            <w:webHidden/>
          </w:rPr>
          <w:instrText xml:space="preserve"> PAGEREF _Toc54611004 \h </w:instrText>
        </w:r>
        <w:r w:rsidR="00A704AB">
          <w:rPr>
            <w:webHidden/>
          </w:rPr>
        </w:r>
        <w:r w:rsidR="00A704AB">
          <w:rPr>
            <w:webHidden/>
          </w:rPr>
          <w:fldChar w:fldCharType="separate"/>
        </w:r>
        <w:r w:rsidR="00A704AB">
          <w:rPr>
            <w:webHidden/>
          </w:rPr>
          <w:t>15</w:t>
        </w:r>
        <w:r w:rsidR="00A704AB">
          <w:rPr>
            <w:webHidden/>
          </w:rPr>
          <w:fldChar w:fldCharType="end"/>
        </w:r>
      </w:hyperlink>
    </w:p>
    <w:p w14:paraId="48194D31" w14:textId="0DAC9EE3" w:rsidR="00A704AB" w:rsidRDefault="00D92A6E">
      <w:pPr>
        <w:pStyle w:val="TOC2"/>
        <w:rPr>
          <w:rFonts w:asciiTheme="minorHAnsi" w:hAnsiTheme="minorHAnsi"/>
          <w:sz w:val="22"/>
          <w:lang w:val="en-US" w:eastAsia="en-US"/>
        </w:rPr>
      </w:pPr>
      <w:hyperlink w:anchor="_Toc54611005" w:history="1">
        <w:r w:rsidR="00A704AB" w:rsidRPr="008F6EB9">
          <w:rPr>
            <w:rStyle w:val="Hyperlink"/>
          </w:rPr>
          <w:t>6.1</w:t>
        </w:r>
        <w:r w:rsidR="00A704AB">
          <w:rPr>
            <w:rFonts w:asciiTheme="minorHAnsi" w:hAnsiTheme="minorHAnsi"/>
            <w:sz w:val="22"/>
            <w:lang w:val="en-US" w:eastAsia="en-US"/>
          </w:rPr>
          <w:tab/>
        </w:r>
        <w:r w:rsidR="00A704AB" w:rsidRPr="008F6EB9">
          <w:rPr>
            <w:rStyle w:val="Hyperlink"/>
          </w:rPr>
          <w:t>Federated Single Sign-On (SSO) / Patient Context using OAuth</w:t>
        </w:r>
        <w:r w:rsidR="00A704AB">
          <w:rPr>
            <w:webHidden/>
          </w:rPr>
          <w:tab/>
        </w:r>
        <w:r w:rsidR="00A704AB">
          <w:rPr>
            <w:webHidden/>
          </w:rPr>
          <w:fldChar w:fldCharType="begin"/>
        </w:r>
        <w:r w:rsidR="00A704AB">
          <w:rPr>
            <w:webHidden/>
          </w:rPr>
          <w:instrText xml:space="preserve"> PAGEREF _Toc54611005 \h </w:instrText>
        </w:r>
        <w:r w:rsidR="00A704AB">
          <w:rPr>
            <w:webHidden/>
          </w:rPr>
        </w:r>
        <w:r w:rsidR="00A704AB">
          <w:rPr>
            <w:webHidden/>
          </w:rPr>
          <w:fldChar w:fldCharType="separate"/>
        </w:r>
        <w:r w:rsidR="00A704AB">
          <w:rPr>
            <w:webHidden/>
          </w:rPr>
          <w:t>15</w:t>
        </w:r>
        <w:r w:rsidR="00A704AB">
          <w:rPr>
            <w:webHidden/>
          </w:rPr>
          <w:fldChar w:fldCharType="end"/>
        </w:r>
      </w:hyperlink>
    </w:p>
    <w:p w14:paraId="0DB33402" w14:textId="3A3A623B" w:rsidR="00A704AB" w:rsidRDefault="00D92A6E">
      <w:pPr>
        <w:pStyle w:val="TOC2"/>
        <w:rPr>
          <w:rFonts w:asciiTheme="minorHAnsi" w:hAnsiTheme="minorHAnsi"/>
          <w:sz w:val="22"/>
          <w:lang w:val="en-US" w:eastAsia="en-US"/>
        </w:rPr>
      </w:pPr>
      <w:hyperlink w:anchor="_Toc54611006" w:history="1">
        <w:r w:rsidR="00A704AB" w:rsidRPr="008F6EB9">
          <w:rPr>
            <w:rStyle w:val="Hyperlink"/>
          </w:rPr>
          <w:t>6.2</w:t>
        </w:r>
        <w:r w:rsidR="00A704AB">
          <w:rPr>
            <w:rFonts w:asciiTheme="minorHAnsi" w:hAnsiTheme="minorHAnsi"/>
            <w:sz w:val="22"/>
            <w:lang w:val="en-US" w:eastAsia="en-US"/>
          </w:rPr>
          <w:tab/>
        </w:r>
        <w:r w:rsidR="00A704AB" w:rsidRPr="008F6EB9">
          <w:rPr>
            <w:rStyle w:val="Hyperlink"/>
          </w:rPr>
          <w:t>Federated Single Sign-On (SSO) / Patient Context using SAML</w:t>
        </w:r>
        <w:r w:rsidR="00A704AB">
          <w:rPr>
            <w:webHidden/>
          </w:rPr>
          <w:tab/>
        </w:r>
        <w:r w:rsidR="00A704AB">
          <w:rPr>
            <w:webHidden/>
          </w:rPr>
          <w:fldChar w:fldCharType="begin"/>
        </w:r>
        <w:r w:rsidR="00A704AB">
          <w:rPr>
            <w:webHidden/>
          </w:rPr>
          <w:instrText xml:space="preserve"> PAGEREF _Toc54611006 \h </w:instrText>
        </w:r>
        <w:r w:rsidR="00A704AB">
          <w:rPr>
            <w:webHidden/>
          </w:rPr>
        </w:r>
        <w:r w:rsidR="00A704AB">
          <w:rPr>
            <w:webHidden/>
          </w:rPr>
          <w:fldChar w:fldCharType="separate"/>
        </w:r>
        <w:r w:rsidR="00A704AB">
          <w:rPr>
            <w:webHidden/>
          </w:rPr>
          <w:t>16</w:t>
        </w:r>
        <w:r w:rsidR="00A704AB">
          <w:rPr>
            <w:webHidden/>
          </w:rPr>
          <w:fldChar w:fldCharType="end"/>
        </w:r>
      </w:hyperlink>
    </w:p>
    <w:p w14:paraId="2EDEF716" w14:textId="4D464EF5" w:rsidR="00A704AB" w:rsidRDefault="00D92A6E">
      <w:pPr>
        <w:pStyle w:val="TOC2"/>
        <w:rPr>
          <w:rFonts w:asciiTheme="minorHAnsi" w:hAnsiTheme="minorHAnsi"/>
          <w:sz w:val="22"/>
          <w:lang w:val="en-US" w:eastAsia="en-US"/>
        </w:rPr>
      </w:pPr>
      <w:hyperlink w:anchor="_Toc54611007" w:history="1">
        <w:r w:rsidR="00A704AB" w:rsidRPr="008F6EB9">
          <w:rPr>
            <w:rStyle w:val="Hyperlink"/>
          </w:rPr>
          <w:t>6.3</w:t>
        </w:r>
        <w:r w:rsidR="00A704AB">
          <w:rPr>
            <w:rFonts w:asciiTheme="minorHAnsi" w:hAnsiTheme="minorHAnsi"/>
            <w:sz w:val="22"/>
            <w:lang w:val="en-US" w:eastAsia="en-US"/>
          </w:rPr>
          <w:tab/>
        </w:r>
        <w:r w:rsidR="00A704AB" w:rsidRPr="008F6EB9">
          <w:rPr>
            <w:rStyle w:val="Hyperlink"/>
          </w:rPr>
          <w:t>Launching Clinical Viewers</w:t>
        </w:r>
        <w:r w:rsidR="00A704AB">
          <w:rPr>
            <w:webHidden/>
          </w:rPr>
          <w:tab/>
        </w:r>
        <w:r w:rsidR="00A704AB">
          <w:rPr>
            <w:webHidden/>
          </w:rPr>
          <w:fldChar w:fldCharType="begin"/>
        </w:r>
        <w:r w:rsidR="00A704AB">
          <w:rPr>
            <w:webHidden/>
          </w:rPr>
          <w:instrText xml:space="preserve"> PAGEREF _Toc54611007 \h </w:instrText>
        </w:r>
        <w:r w:rsidR="00A704AB">
          <w:rPr>
            <w:webHidden/>
          </w:rPr>
        </w:r>
        <w:r w:rsidR="00A704AB">
          <w:rPr>
            <w:webHidden/>
          </w:rPr>
          <w:fldChar w:fldCharType="separate"/>
        </w:r>
        <w:r w:rsidR="00A704AB">
          <w:rPr>
            <w:webHidden/>
          </w:rPr>
          <w:t>16</w:t>
        </w:r>
        <w:r w:rsidR="00A704AB">
          <w:rPr>
            <w:webHidden/>
          </w:rPr>
          <w:fldChar w:fldCharType="end"/>
        </w:r>
      </w:hyperlink>
    </w:p>
    <w:p w14:paraId="3AB9CFF9" w14:textId="709B5D03" w:rsidR="00A704AB" w:rsidRDefault="00D92A6E">
      <w:pPr>
        <w:pStyle w:val="TOC3"/>
        <w:rPr>
          <w:sz w:val="22"/>
          <w:lang w:val="en-US" w:eastAsia="en-US"/>
        </w:rPr>
      </w:pPr>
      <w:hyperlink w:anchor="_Toc54611008" w:history="1">
        <w:r w:rsidR="00A704AB" w:rsidRPr="008F6EB9">
          <w:rPr>
            <w:rStyle w:val="Hyperlink"/>
          </w:rPr>
          <w:t>6.3.1</w:t>
        </w:r>
        <w:r w:rsidR="00A704AB">
          <w:rPr>
            <w:sz w:val="22"/>
            <w:lang w:val="en-US" w:eastAsia="en-US"/>
          </w:rPr>
          <w:tab/>
        </w:r>
        <w:r w:rsidR="00A704AB" w:rsidRPr="008F6EB9">
          <w:rPr>
            <w:rStyle w:val="Hyperlink"/>
          </w:rPr>
          <w:t>ConnectingOntario ClinicalViewer</w:t>
        </w:r>
        <w:r w:rsidR="00A704AB">
          <w:rPr>
            <w:webHidden/>
          </w:rPr>
          <w:tab/>
        </w:r>
        <w:r w:rsidR="00A704AB">
          <w:rPr>
            <w:webHidden/>
          </w:rPr>
          <w:fldChar w:fldCharType="begin"/>
        </w:r>
        <w:r w:rsidR="00A704AB">
          <w:rPr>
            <w:webHidden/>
          </w:rPr>
          <w:instrText xml:space="preserve"> PAGEREF _Toc54611008 \h </w:instrText>
        </w:r>
        <w:r w:rsidR="00A704AB">
          <w:rPr>
            <w:webHidden/>
          </w:rPr>
        </w:r>
        <w:r w:rsidR="00A704AB">
          <w:rPr>
            <w:webHidden/>
          </w:rPr>
          <w:fldChar w:fldCharType="separate"/>
        </w:r>
        <w:r w:rsidR="00A704AB">
          <w:rPr>
            <w:webHidden/>
          </w:rPr>
          <w:t>17</w:t>
        </w:r>
        <w:r w:rsidR="00A704AB">
          <w:rPr>
            <w:webHidden/>
          </w:rPr>
          <w:fldChar w:fldCharType="end"/>
        </w:r>
      </w:hyperlink>
    </w:p>
    <w:p w14:paraId="056C5A27" w14:textId="7EF88ECA" w:rsidR="00A704AB" w:rsidRDefault="00D92A6E">
      <w:pPr>
        <w:pStyle w:val="TOC3"/>
        <w:rPr>
          <w:sz w:val="22"/>
          <w:lang w:val="en-US" w:eastAsia="en-US"/>
        </w:rPr>
      </w:pPr>
      <w:hyperlink w:anchor="_Toc54611009" w:history="1">
        <w:r w:rsidR="00A704AB" w:rsidRPr="008F6EB9">
          <w:rPr>
            <w:rStyle w:val="Hyperlink"/>
          </w:rPr>
          <w:t>6.3.2</w:t>
        </w:r>
        <w:r w:rsidR="00A704AB">
          <w:rPr>
            <w:sz w:val="22"/>
            <w:lang w:val="en-US" w:eastAsia="en-US"/>
          </w:rPr>
          <w:tab/>
        </w:r>
        <w:r w:rsidR="00A704AB" w:rsidRPr="008F6EB9">
          <w:rPr>
            <w:rStyle w:val="Hyperlink"/>
          </w:rPr>
          <w:t>ClinicalConnect</w:t>
        </w:r>
        <w:r w:rsidR="00A704AB">
          <w:rPr>
            <w:webHidden/>
          </w:rPr>
          <w:tab/>
        </w:r>
        <w:r w:rsidR="00A704AB">
          <w:rPr>
            <w:webHidden/>
          </w:rPr>
          <w:fldChar w:fldCharType="begin"/>
        </w:r>
        <w:r w:rsidR="00A704AB">
          <w:rPr>
            <w:webHidden/>
          </w:rPr>
          <w:instrText xml:space="preserve"> PAGEREF _Toc54611009 \h </w:instrText>
        </w:r>
        <w:r w:rsidR="00A704AB">
          <w:rPr>
            <w:webHidden/>
          </w:rPr>
        </w:r>
        <w:r w:rsidR="00A704AB">
          <w:rPr>
            <w:webHidden/>
          </w:rPr>
          <w:fldChar w:fldCharType="separate"/>
        </w:r>
        <w:r w:rsidR="00A704AB">
          <w:rPr>
            <w:webHidden/>
          </w:rPr>
          <w:t>17</w:t>
        </w:r>
        <w:r w:rsidR="00A704AB">
          <w:rPr>
            <w:webHidden/>
          </w:rPr>
          <w:fldChar w:fldCharType="end"/>
        </w:r>
      </w:hyperlink>
    </w:p>
    <w:p w14:paraId="28CB43B7" w14:textId="1FB06B7A" w:rsidR="00A704AB" w:rsidRDefault="00D92A6E">
      <w:pPr>
        <w:pStyle w:val="TOC3"/>
        <w:rPr>
          <w:sz w:val="22"/>
          <w:lang w:val="en-US" w:eastAsia="en-US"/>
        </w:rPr>
      </w:pPr>
      <w:hyperlink w:anchor="_Toc54611010" w:history="1">
        <w:r w:rsidR="00A704AB" w:rsidRPr="008F6EB9">
          <w:rPr>
            <w:rStyle w:val="Hyperlink"/>
          </w:rPr>
          <w:t>6.3.3</w:t>
        </w:r>
        <w:r w:rsidR="00A704AB">
          <w:rPr>
            <w:sz w:val="22"/>
            <w:lang w:val="en-US" w:eastAsia="en-US"/>
          </w:rPr>
          <w:tab/>
        </w:r>
        <w:r w:rsidR="00A704AB" w:rsidRPr="008F6EB9">
          <w:rPr>
            <w:rStyle w:val="Hyperlink"/>
          </w:rPr>
          <w:t>eHealth Portal</w:t>
        </w:r>
        <w:r w:rsidR="00A704AB">
          <w:rPr>
            <w:webHidden/>
          </w:rPr>
          <w:tab/>
        </w:r>
        <w:r w:rsidR="00A704AB">
          <w:rPr>
            <w:webHidden/>
          </w:rPr>
          <w:fldChar w:fldCharType="begin"/>
        </w:r>
        <w:r w:rsidR="00A704AB">
          <w:rPr>
            <w:webHidden/>
          </w:rPr>
          <w:instrText xml:space="preserve"> PAGEREF _Toc54611010 \h </w:instrText>
        </w:r>
        <w:r w:rsidR="00A704AB">
          <w:rPr>
            <w:webHidden/>
          </w:rPr>
        </w:r>
        <w:r w:rsidR="00A704AB">
          <w:rPr>
            <w:webHidden/>
          </w:rPr>
          <w:fldChar w:fldCharType="separate"/>
        </w:r>
        <w:r w:rsidR="00A704AB">
          <w:rPr>
            <w:webHidden/>
          </w:rPr>
          <w:t>18</w:t>
        </w:r>
        <w:r w:rsidR="00A704AB">
          <w:rPr>
            <w:webHidden/>
          </w:rPr>
          <w:fldChar w:fldCharType="end"/>
        </w:r>
      </w:hyperlink>
    </w:p>
    <w:p w14:paraId="18F18A24" w14:textId="7B9E2D1B" w:rsidR="00A704AB" w:rsidRDefault="00D92A6E">
      <w:pPr>
        <w:pStyle w:val="TOC1"/>
        <w:rPr>
          <w:rFonts w:asciiTheme="minorHAnsi" w:hAnsiTheme="minorHAnsi"/>
          <w:b w:val="0"/>
          <w:sz w:val="22"/>
          <w:lang w:val="en-US" w:eastAsia="en-US"/>
        </w:rPr>
      </w:pPr>
      <w:hyperlink w:anchor="_Toc54611011" w:history="1">
        <w:r w:rsidR="00A704AB" w:rsidRPr="008F6EB9">
          <w:rPr>
            <w:rStyle w:val="Hyperlink"/>
          </w:rPr>
          <w:t>7.0</w:t>
        </w:r>
        <w:r w:rsidR="00A704AB">
          <w:rPr>
            <w:rFonts w:asciiTheme="minorHAnsi" w:hAnsiTheme="minorHAnsi"/>
            <w:b w:val="0"/>
            <w:sz w:val="22"/>
            <w:lang w:val="en-US" w:eastAsia="en-US"/>
          </w:rPr>
          <w:tab/>
        </w:r>
        <w:r w:rsidR="00A704AB" w:rsidRPr="008F6EB9">
          <w:rPr>
            <w:rStyle w:val="Hyperlink"/>
          </w:rPr>
          <w:t>Health Information Requirements</w:t>
        </w:r>
        <w:r w:rsidR="00A704AB">
          <w:rPr>
            <w:webHidden/>
          </w:rPr>
          <w:tab/>
        </w:r>
        <w:r w:rsidR="00A704AB">
          <w:rPr>
            <w:webHidden/>
          </w:rPr>
          <w:fldChar w:fldCharType="begin"/>
        </w:r>
        <w:r w:rsidR="00A704AB">
          <w:rPr>
            <w:webHidden/>
          </w:rPr>
          <w:instrText xml:space="preserve"> PAGEREF _Toc54611011 \h </w:instrText>
        </w:r>
        <w:r w:rsidR="00A704AB">
          <w:rPr>
            <w:webHidden/>
          </w:rPr>
        </w:r>
        <w:r w:rsidR="00A704AB">
          <w:rPr>
            <w:webHidden/>
          </w:rPr>
          <w:fldChar w:fldCharType="separate"/>
        </w:r>
        <w:r w:rsidR="00A704AB">
          <w:rPr>
            <w:webHidden/>
          </w:rPr>
          <w:t>19</w:t>
        </w:r>
        <w:r w:rsidR="00A704AB">
          <w:rPr>
            <w:webHidden/>
          </w:rPr>
          <w:fldChar w:fldCharType="end"/>
        </w:r>
      </w:hyperlink>
    </w:p>
    <w:p w14:paraId="054D4592" w14:textId="593DA906" w:rsidR="00A704AB" w:rsidRDefault="00D92A6E">
      <w:pPr>
        <w:pStyle w:val="TOC2"/>
        <w:rPr>
          <w:rFonts w:asciiTheme="minorHAnsi" w:hAnsiTheme="minorHAnsi"/>
          <w:sz w:val="22"/>
          <w:lang w:val="en-US" w:eastAsia="en-US"/>
        </w:rPr>
      </w:pPr>
      <w:hyperlink w:anchor="_Toc54611012" w:history="1">
        <w:r w:rsidR="00A704AB" w:rsidRPr="008F6EB9">
          <w:rPr>
            <w:rStyle w:val="Hyperlink"/>
          </w:rPr>
          <w:t>7.1</w:t>
        </w:r>
        <w:r w:rsidR="00A704AB">
          <w:rPr>
            <w:rFonts w:asciiTheme="minorHAnsi" w:hAnsiTheme="minorHAnsi"/>
            <w:sz w:val="22"/>
            <w:lang w:val="en-US" w:eastAsia="en-US"/>
          </w:rPr>
          <w:tab/>
        </w:r>
        <w:r w:rsidR="00A704AB" w:rsidRPr="008F6EB9">
          <w:rPr>
            <w:rStyle w:val="Hyperlink"/>
          </w:rPr>
          <w:t>Terminology Standards</w:t>
        </w:r>
        <w:r w:rsidR="00A704AB">
          <w:rPr>
            <w:webHidden/>
          </w:rPr>
          <w:tab/>
        </w:r>
        <w:r w:rsidR="00A704AB">
          <w:rPr>
            <w:webHidden/>
          </w:rPr>
          <w:fldChar w:fldCharType="begin"/>
        </w:r>
        <w:r w:rsidR="00A704AB">
          <w:rPr>
            <w:webHidden/>
          </w:rPr>
          <w:instrText xml:space="preserve"> PAGEREF _Toc54611012 \h </w:instrText>
        </w:r>
        <w:r w:rsidR="00A704AB">
          <w:rPr>
            <w:webHidden/>
          </w:rPr>
        </w:r>
        <w:r w:rsidR="00A704AB">
          <w:rPr>
            <w:webHidden/>
          </w:rPr>
          <w:fldChar w:fldCharType="separate"/>
        </w:r>
        <w:r w:rsidR="00A704AB">
          <w:rPr>
            <w:webHidden/>
          </w:rPr>
          <w:t>19</w:t>
        </w:r>
        <w:r w:rsidR="00A704AB">
          <w:rPr>
            <w:webHidden/>
          </w:rPr>
          <w:fldChar w:fldCharType="end"/>
        </w:r>
      </w:hyperlink>
    </w:p>
    <w:p w14:paraId="0072B840" w14:textId="52D13702" w:rsidR="00A704AB" w:rsidRDefault="00D92A6E">
      <w:pPr>
        <w:pStyle w:val="TOC2"/>
        <w:rPr>
          <w:rFonts w:asciiTheme="minorHAnsi" w:hAnsiTheme="minorHAnsi"/>
          <w:sz w:val="22"/>
          <w:lang w:val="en-US" w:eastAsia="en-US"/>
        </w:rPr>
      </w:pPr>
      <w:hyperlink w:anchor="_Toc54611013" w:history="1">
        <w:r w:rsidR="00A704AB" w:rsidRPr="008F6EB9">
          <w:rPr>
            <w:rStyle w:val="Hyperlink"/>
          </w:rPr>
          <w:t>7.2</w:t>
        </w:r>
        <w:r w:rsidR="00A704AB">
          <w:rPr>
            <w:rFonts w:asciiTheme="minorHAnsi" w:hAnsiTheme="minorHAnsi"/>
            <w:sz w:val="22"/>
            <w:lang w:val="en-US" w:eastAsia="en-US"/>
          </w:rPr>
          <w:tab/>
        </w:r>
        <w:r w:rsidR="00A704AB" w:rsidRPr="008F6EB9">
          <w:rPr>
            <w:rStyle w:val="Hyperlink"/>
          </w:rPr>
          <w:t>Deprecated Standards</w:t>
        </w:r>
        <w:r w:rsidR="00A704AB">
          <w:rPr>
            <w:webHidden/>
          </w:rPr>
          <w:tab/>
        </w:r>
        <w:r w:rsidR="00A704AB">
          <w:rPr>
            <w:webHidden/>
          </w:rPr>
          <w:fldChar w:fldCharType="begin"/>
        </w:r>
        <w:r w:rsidR="00A704AB">
          <w:rPr>
            <w:webHidden/>
          </w:rPr>
          <w:instrText xml:space="preserve"> PAGEREF _Toc54611013 \h </w:instrText>
        </w:r>
        <w:r w:rsidR="00A704AB">
          <w:rPr>
            <w:webHidden/>
          </w:rPr>
        </w:r>
        <w:r w:rsidR="00A704AB">
          <w:rPr>
            <w:webHidden/>
          </w:rPr>
          <w:fldChar w:fldCharType="separate"/>
        </w:r>
        <w:r w:rsidR="00A704AB">
          <w:rPr>
            <w:webHidden/>
          </w:rPr>
          <w:t>21</w:t>
        </w:r>
        <w:r w:rsidR="00A704AB">
          <w:rPr>
            <w:webHidden/>
          </w:rPr>
          <w:fldChar w:fldCharType="end"/>
        </w:r>
      </w:hyperlink>
    </w:p>
    <w:p w14:paraId="48F3A456" w14:textId="5CD0E857" w:rsidR="004314AC" w:rsidRPr="004314AC" w:rsidRDefault="00103453" w:rsidP="00043707">
      <w:pPr>
        <w:pStyle w:val="TOC2"/>
        <w:rPr>
          <w:b/>
        </w:rPr>
        <w:sectPr w:rsidR="004314AC" w:rsidRPr="004314AC" w:rsidSect="001E59E7">
          <w:headerReference w:type="default" r:id="rId16"/>
          <w:footerReference w:type="default" r:id="rId17"/>
          <w:pgSz w:w="12240" w:h="15840" w:code="1"/>
          <w:pgMar w:top="936" w:right="1440" w:bottom="1440" w:left="1440" w:header="720" w:footer="432" w:gutter="0"/>
          <w:pgNumType w:fmt="lowerRoman" w:start="2"/>
          <w:cols w:space="720"/>
          <w:docGrid w:linePitch="360"/>
        </w:sectPr>
      </w:pPr>
      <w:r>
        <w:rPr>
          <w:rFonts w:ascii="Arial" w:hAnsi="Arial" w:cs="Arial"/>
          <w:color w:val="000000"/>
          <w:sz w:val="17"/>
          <w:szCs w:val="17"/>
        </w:rPr>
        <w:fldChar w:fldCharType="end"/>
      </w:r>
      <w:r w:rsidR="005B28B0">
        <w:rPr>
          <w:rFonts w:ascii="Arial" w:hAnsi="Arial" w:cs="Arial"/>
          <w:color w:val="000000"/>
          <w:sz w:val="17"/>
          <w:szCs w:val="17"/>
        </w:rPr>
        <w:tab/>
      </w:r>
    </w:p>
    <w:p w14:paraId="3A6B6CDE" w14:textId="65D9F4C3" w:rsidR="00BA1B5C" w:rsidRDefault="00BA1B5C" w:rsidP="00935ED1">
      <w:pPr>
        <w:pStyle w:val="Heading1"/>
      </w:pPr>
      <w:bookmarkStart w:id="2" w:name="_Toc54610984"/>
      <w:r>
        <w:t>Introduction</w:t>
      </w:r>
      <w:bookmarkEnd w:id="2"/>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45"/>
        <w:gridCol w:w="8415"/>
      </w:tblGrid>
      <w:tr w:rsidR="00654F4B" w14:paraId="5E7A36C4" w14:textId="77777777" w:rsidTr="228950F6">
        <w:tc>
          <w:tcPr>
            <w:tcW w:w="945" w:type="dxa"/>
            <w:shd w:val="clear" w:color="auto" w:fill="EEECE1" w:themeFill="background2"/>
            <w:vAlign w:val="center"/>
          </w:tcPr>
          <w:p w14:paraId="6B84E71C" w14:textId="58FF5C9C" w:rsidR="00654F4B" w:rsidRPr="00B43C7D" w:rsidRDefault="00654F4B" w:rsidP="00A37377">
            <w:pPr>
              <w:pStyle w:val="Body"/>
              <w:jc w:val="center"/>
            </w:pPr>
            <w:r>
              <w:rPr>
                <w:noProof/>
              </w:rPr>
              <w:drawing>
                <wp:inline distT="0" distB="0" distL="0" distR="0" wp14:anchorId="6F4EB6EF" wp14:editId="39CCDD1F">
                  <wp:extent cx="453781" cy="453781"/>
                  <wp:effectExtent l="0" t="0" r="3810" b="3810"/>
                  <wp:docPr id="29" name="Picture 29" descr="https://static.thenounproject.com/png/166589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thenounproject.com/png/1665890-200.png"/>
                          <pic:cNvPicPr>
                            <a:picLocks noChangeAspect="1" noChangeArrowheads="1"/>
                          </pic:cNvPicPr>
                        </pic:nvPicPr>
                        <pic:blipFill>
                          <a:blip r:embed="rId18" cstate="screen">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1967" cy="471967"/>
                          </a:xfrm>
                          <a:prstGeom prst="rect">
                            <a:avLst/>
                          </a:prstGeom>
                          <a:noFill/>
                          <a:ln>
                            <a:noFill/>
                          </a:ln>
                        </pic:spPr>
                      </pic:pic>
                    </a:graphicData>
                  </a:graphic>
                </wp:inline>
              </w:drawing>
            </w:r>
          </w:p>
        </w:tc>
        <w:tc>
          <w:tcPr>
            <w:tcW w:w="8415" w:type="dxa"/>
            <w:shd w:val="clear" w:color="auto" w:fill="EEECE1" w:themeFill="background2"/>
            <w:vAlign w:val="center"/>
          </w:tcPr>
          <w:p w14:paraId="64A30EC3" w14:textId="606171C1" w:rsidR="00654F4B" w:rsidRPr="00654F4B" w:rsidRDefault="00654F4B" w:rsidP="00A37377">
            <w:pPr>
              <w:pStyle w:val="Body"/>
              <w:spacing w:line="240" w:lineRule="auto"/>
              <w:rPr>
                <w:color w:val="404040" w:themeColor="text1" w:themeTint="BF"/>
                <w:spacing w:val="-2"/>
                <w:sz w:val="20"/>
                <w:szCs w:val="20"/>
              </w:rPr>
            </w:pPr>
            <w:r w:rsidRPr="00654F4B">
              <w:rPr>
                <w:color w:val="404040" w:themeColor="text1" w:themeTint="BF"/>
                <w:spacing w:val="-2"/>
                <w:sz w:val="20"/>
                <w:szCs w:val="20"/>
              </w:rPr>
              <w:t xml:space="preserve">Ontario is </w:t>
            </w:r>
            <w:r w:rsidRPr="00654F4B">
              <w:rPr>
                <w:rFonts w:asciiTheme="minorHAnsi" w:hAnsiTheme="minorHAnsi"/>
                <w:b/>
                <w:color w:val="C05B08"/>
                <w:spacing w:val="-2"/>
                <w:sz w:val="18"/>
                <w:szCs w:val="18"/>
              </w:rPr>
              <w:t>modernizing</w:t>
            </w:r>
            <w:r w:rsidRPr="00654F4B">
              <w:rPr>
                <w:color w:val="404040" w:themeColor="text1" w:themeTint="BF"/>
                <w:spacing w:val="-2"/>
                <w:sz w:val="20"/>
                <w:szCs w:val="20"/>
              </w:rPr>
              <w:t xml:space="preserve"> its health</w:t>
            </w:r>
            <w:r w:rsidR="00F57C0E">
              <w:rPr>
                <w:color w:val="404040" w:themeColor="text1" w:themeTint="BF"/>
                <w:spacing w:val="-2"/>
                <w:sz w:val="20"/>
                <w:szCs w:val="20"/>
              </w:rPr>
              <w:t xml:space="preserve"> </w:t>
            </w:r>
            <w:r w:rsidRPr="00654F4B">
              <w:rPr>
                <w:color w:val="404040" w:themeColor="text1" w:themeTint="BF"/>
                <w:spacing w:val="-2"/>
                <w:sz w:val="20"/>
                <w:szCs w:val="20"/>
              </w:rPr>
              <w:t xml:space="preserve">care system to be more integrated, innovative and patient-centred. This modernization will be supported by </w:t>
            </w:r>
            <w:r w:rsidRPr="00654F4B">
              <w:rPr>
                <w:rFonts w:asciiTheme="minorHAnsi" w:hAnsiTheme="minorHAnsi"/>
                <w:b/>
                <w:color w:val="C05B08"/>
                <w:spacing w:val="-2"/>
                <w:sz w:val="18"/>
                <w:szCs w:val="18"/>
              </w:rPr>
              <w:t>digital technologies</w:t>
            </w:r>
            <w:r w:rsidRPr="00654F4B">
              <w:rPr>
                <w:color w:val="404040" w:themeColor="text1" w:themeTint="BF"/>
                <w:spacing w:val="-2"/>
                <w:sz w:val="20"/>
                <w:szCs w:val="20"/>
              </w:rPr>
              <w:t xml:space="preserve"> that allow patients to connect virtually with their care providers and will put the right health information into the hands of patients, caregivers and health</w:t>
            </w:r>
            <w:r w:rsidR="00A778E3">
              <w:rPr>
                <w:color w:val="404040" w:themeColor="text1" w:themeTint="BF"/>
                <w:spacing w:val="-2"/>
                <w:sz w:val="20"/>
                <w:szCs w:val="20"/>
              </w:rPr>
              <w:t xml:space="preserve"> </w:t>
            </w:r>
            <w:r w:rsidRPr="00654F4B">
              <w:rPr>
                <w:color w:val="404040" w:themeColor="text1" w:themeTint="BF"/>
                <w:spacing w:val="-2"/>
                <w:sz w:val="20"/>
                <w:szCs w:val="20"/>
              </w:rPr>
              <w:t>care providers at the right time.</w:t>
            </w:r>
          </w:p>
        </w:tc>
      </w:tr>
    </w:tbl>
    <w:p w14:paraId="05E04204" w14:textId="5B8188C0" w:rsidR="00F12267" w:rsidRDefault="005D764A" w:rsidP="00A13BE9">
      <w:pPr>
        <w:pStyle w:val="Heading2"/>
      </w:pPr>
      <w:bookmarkStart w:id="3" w:name="_Toc54610985"/>
      <w:r w:rsidRPr="00A13BE9">
        <w:t>Purpose</w:t>
      </w:r>
      <w:bookmarkEnd w:id="3"/>
    </w:p>
    <w:p w14:paraId="724F1CBB" w14:textId="6CED2592" w:rsidR="00C02158" w:rsidRDefault="00C02158" w:rsidP="00C02158">
      <w:pPr>
        <w:pStyle w:val="Body"/>
      </w:pPr>
      <w:r>
        <w:t xml:space="preserve">This document describes </w:t>
      </w:r>
      <w:r w:rsidR="00A778E3">
        <w:t xml:space="preserve">the </w:t>
      </w:r>
      <w:r w:rsidR="01D2508C">
        <w:t xml:space="preserve">current state </w:t>
      </w:r>
      <w:r w:rsidR="00A778E3">
        <w:t xml:space="preserve">of </w:t>
      </w:r>
      <w:r>
        <w:t xml:space="preserve">provincial </w:t>
      </w:r>
      <w:r w:rsidR="000E7697">
        <w:t>e</w:t>
      </w:r>
      <w:r>
        <w:t xml:space="preserve">lectronic </w:t>
      </w:r>
      <w:r w:rsidR="000E7697">
        <w:t>h</w:t>
      </w:r>
      <w:r>
        <w:t xml:space="preserve">ealth </w:t>
      </w:r>
      <w:r w:rsidR="000E7697">
        <w:t xml:space="preserve">record </w:t>
      </w:r>
      <w:r>
        <w:t>(EHR) connectivity requirements that may be used by health</w:t>
      </w:r>
      <w:r w:rsidR="00A778E3">
        <w:t xml:space="preserve"> </w:t>
      </w:r>
      <w:r>
        <w:t>care stakeholders in the procurement of point</w:t>
      </w:r>
      <w:r w:rsidR="006C3F95">
        <w:t>-</w:t>
      </w:r>
      <w:r>
        <w:t>of</w:t>
      </w:r>
      <w:r w:rsidR="006C3F95">
        <w:t>-</w:t>
      </w:r>
      <w:r>
        <w:t xml:space="preserve">service (POS) systems. It provides guidance to support the evaluation of promising innovations, </w:t>
      </w:r>
      <w:r w:rsidR="00A778E3">
        <w:t xml:space="preserve">to </w:t>
      </w:r>
      <w:r>
        <w:t xml:space="preserve">enable the spread and scale of proven and successful digital health </w:t>
      </w:r>
      <w:r w:rsidR="003368E2">
        <w:t>systems</w:t>
      </w:r>
      <w:r>
        <w:t xml:space="preserve"> and </w:t>
      </w:r>
      <w:r w:rsidR="00A778E3">
        <w:t xml:space="preserve">to </w:t>
      </w:r>
      <w:r>
        <w:t xml:space="preserve">reduce the fragmentation </w:t>
      </w:r>
      <w:r w:rsidR="003368E2">
        <w:t xml:space="preserve">and information silos </w:t>
      </w:r>
      <w:r>
        <w:t xml:space="preserve">caused by </w:t>
      </w:r>
      <w:r w:rsidR="00A778E3">
        <w:t xml:space="preserve">making </w:t>
      </w:r>
      <w:r>
        <w:t>decisions and purchases</w:t>
      </w:r>
      <w:r w:rsidR="00E51E88">
        <w:t xml:space="preserve"> without consideration of </w:t>
      </w:r>
      <w:r w:rsidR="001543F3">
        <w:t xml:space="preserve">meaningful </w:t>
      </w:r>
      <w:r w:rsidR="00E51E88">
        <w:t>data access and sharing requirements</w:t>
      </w:r>
      <w:r>
        <w:t>.</w:t>
      </w:r>
    </w:p>
    <w:p w14:paraId="1A9158B9" w14:textId="46D29D9A" w:rsidR="00690901" w:rsidRDefault="00882A45" w:rsidP="00690901">
      <w:pPr>
        <w:pStyle w:val="Body"/>
      </w:pPr>
      <w:r>
        <w:t>The modernization of Ontario’s health</w:t>
      </w:r>
      <w:r w:rsidR="00A778E3">
        <w:t xml:space="preserve"> </w:t>
      </w:r>
      <w:r>
        <w:t>care system</w:t>
      </w:r>
      <w:r w:rsidR="00690901">
        <w:t xml:space="preserve"> will require </w:t>
      </w:r>
      <w:r w:rsidR="00E304DF">
        <w:t>Health Service Providers (</w:t>
      </w:r>
      <w:r w:rsidR="00690901">
        <w:t>HSPs</w:t>
      </w:r>
      <w:r w:rsidR="00E304DF">
        <w:t>)</w:t>
      </w:r>
      <w:r w:rsidR="00690901">
        <w:t xml:space="preserve"> to re-think how their </w:t>
      </w:r>
      <w:r w:rsidR="00690901" w:rsidRPr="00882A45">
        <w:rPr>
          <w:b/>
        </w:rPr>
        <w:t>digital services and related infrastructure</w:t>
      </w:r>
      <w:r w:rsidR="00690901">
        <w:t xml:space="preserve"> are organized. This may include the purchase of new and/or updated health information systems, applications </w:t>
      </w:r>
      <w:r w:rsidR="00E304DF">
        <w:t>and communication technologies.</w:t>
      </w:r>
    </w:p>
    <w:p w14:paraId="4B5BDA97" w14:textId="0DBF6C1E" w:rsidR="00690901" w:rsidRDefault="003368E2" w:rsidP="00690901">
      <w:pPr>
        <w:pStyle w:val="Body"/>
      </w:pPr>
      <w:r>
        <w:t xml:space="preserve">When a decision is made to upgrade or purchase a new health information system, it </w:t>
      </w:r>
      <w:r w:rsidR="00690901">
        <w:t xml:space="preserve">is important to ensure that the acquisition </w:t>
      </w:r>
      <w:r w:rsidR="00B424D4">
        <w:t>meets the needs of</w:t>
      </w:r>
      <w:r w:rsidR="00690901">
        <w:t xml:space="preserve"> </w:t>
      </w:r>
      <w:r w:rsidR="00D44106">
        <w:t>Ontario Health Team</w:t>
      </w:r>
      <w:r w:rsidR="00690901">
        <w:t xml:space="preserve">s </w:t>
      </w:r>
      <w:r w:rsidR="00882A45">
        <w:t>(OHTs)</w:t>
      </w:r>
      <w:r w:rsidR="005E1804">
        <w:t xml:space="preserve"> </w:t>
      </w:r>
      <w:r w:rsidR="00690901">
        <w:t xml:space="preserve">and </w:t>
      </w:r>
      <w:r w:rsidR="00882A45">
        <w:t>HSP</w:t>
      </w:r>
      <w:r w:rsidR="00D44106">
        <w:t>s</w:t>
      </w:r>
      <w:r w:rsidR="00690901">
        <w:t>, and leverages economies of scale when appropriate to improve value for money. These tools should support provincial strategic objectives</w:t>
      </w:r>
      <w:r w:rsidR="6AB3D728">
        <w:t xml:space="preserve"> and </w:t>
      </w:r>
      <w:r w:rsidR="00BA625B">
        <w:t>requirements</w:t>
      </w:r>
      <w:r w:rsidR="6AB3D728">
        <w:t>,</w:t>
      </w:r>
      <w:r w:rsidR="00690901">
        <w:t xml:space="preserve"> </w:t>
      </w:r>
      <w:r w:rsidR="00BA625B">
        <w:t>while improving the patient and provider</w:t>
      </w:r>
      <w:r w:rsidR="00690901">
        <w:t xml:space="preserve"> experience.</w:t>
      </w:r>
    </w:p>
    <w:p w14:paraId="6ED6E322" w14:textId="74087AD2" w:rsidR="00690901" w:rsidRPr="007A02E2" w:rsidRDefault="00690901" w:rsidP="00A13BE9">
      <w:pPr>
        <w:pStyle w:val="Heading2"/>
      </w:pPr>
      <w:bookmarkStart w:id="4" w:name="_Toc50629244"/>
      <w:bookmarkStart w:id="5" w:name="_Toc50629505"/>
      <w:bookmarkStart w:id="6" w:name="_Toc50638334"/>
      <w:bookmarkStart w:id="7" w:name="_Toc50640395"/>
      <w:bookmarkStart w:id="8" w:name="_Toc419199691"/>
      <w:bookmarkStart w:id="9" w:name="_Toc471821865"/>
      <w:bookmarkStart w:id="10" w:name="_Toc496269810"/>
      <w:bookmarkStart w:id="11" w:name="_Toc54610986"/>
      <w:bookmarkEnd w:id="4"/>
      <w:bookmarkEnd w:id="5"/>
      <w:bookmarkEnd w:id="6"/>
      <w:bookmarkEnd w:id="7"/>
      <w:r w:rsidRPr="007A02E2">
        <w:t>Background</w:t>
      </w:r>
      <w:bookmarkEnd w:id="8"/>
      <w:bookmarkEnd w:id="9"/>
      <w:bookmarkEnd w:id="10"/>
      <w:bookmarkEnd w:id="11"/>
    </w:p>
    <w:p w14:paraId="44D48763" w14:textId="5E52F130" w:rsidR="00690901" w:rsidRDefault="00690901" w:rsidP="00690901">
      <w:pPr>
        <w:pStyle w:val="Body"/>
      </w:pPr>
      <w:r w:rsidRPr="007A02E2">
        <w:t>A POS</w:t>
      </w:r>
      <w:r w:rsidR="003456AD">
        <w:t xml:space="preserve"> system</w:t>
      </w:r>
      <w:r w:rsidRPr="007A02E2">
        <w:t xml:space="preserve"> is an application used by health</w:t>
      </w:r>
      <w:r w:rsidR="00C71ADD">
        <w:t xml:space="preserve"> </w:t>
      </w:r>
      <w:r w:rsidRPr="007A02E2">
        <w:t xml:space="preserve">care providers for viewing or managing </w:t>
      </w:r>
      <w:r w:rsidR="001060C0">
        <w:t>p</w:t>
      </w:r>
      <w:r w:rsidRPr="007A02E2">
        <w:t xml:space="preserve">ersonal </w:t>
      </w:r>
      <w:r w:rsidR="001060C0">
        <w:t>h</w:t>
      </w:r>
      <w:r w:rsidRPr="007A02E2">
        <w:t xml:space="preserve">ealth </w:t>
      </w:r>
      <w:r w:rsidR="001060C0">
        <w:t>i</w:t>
      </w:r>
      <w:r w:rsidRPr="007A02E2">
        <w:t>nformation (PHI). This includes</w:t>
      </w:r>
      <w:r w:rsidR="006E3BE0">
        <w:t>, but is not limited to,</w:t>
      </w:r>
      <w:r w:rsidRPr="007A02E2">
        <w:t xml:space="preserve"> </w:t>
      </w:r>
      <w:r w:rsidR="001060C0">
        <w:t>h</w:t>
      </w:r>
      <w:r w:rsidRPr="007A02E2">
        <w:t xml:space="preserve">ospital </w:t>
      </w:r>
      <w:r w:rsidR="001060C0">
        <w:t>i</w:t>
      </w:r>
      <w:r w:rsidRPr="007A02E2">
        <w:t xml:space="preserve">nformation </w:t>
      </w:r>
      <w:r w:rsidR="001060C0">
        <w:t>s</w:t>
      </w:r>
      <w:r w:rsidRPr="007A02E2">
        <w:t xml:space="preserve">ystems (HIS), community and ambulatory health information systems, and provincial/regional EHR viewers. </w:t>
      </w:r>
      <w:r w:rsidR="009C1881">
        <w:t xml:space="preserve">Primary care </w:t>
      </w:r>
      <w:r w:rsidRPr="007A02E2">
        <w:t xml:space="preserve">Electronic Medical Record (EMR) systems are out of scope for this document. EHR Connectivity Requirements for </w:t>
      </w:r>
      <w:r w:rsidR="009C1881">
        <w:t xml:space="preserve">primary care </w:t>
      </w:r>
      <w:r w:rsidRPr="007A02E2">
        <w:t>EMRs are defined by</w:t>
      </w:r>
      <w:r w:rsidR="00F142EC">
        <w:t xml:space="preserve"> </w:t>
      </w:r>
      <w:r w:rsidR="00F142EC" w:rsidRPr="00F142EC">
        <w:t>EMR Specificati</w:t>
      </w:r>
      <w:r w:rsidR="00F142EC">
        <w:t>ons, managed by OntarioMD</w:t>
      </w:r>
      <w:r w:rsidRPr="007A02E2">
        <w:t>.</w:t>
      </w:r>
    </w:p>
    <w:p w14:paraId="3BB1C307" w14:textId="7DDB9569" w:rsidR="00690901" w:rsidRPr="007A02E2" w:rsidRDefault="00690901" w:rsidP="00690901">
      <w:pPr>
        <w:pStyle w:val="Body"/>
      </w:pPr>
      <w:r w:rsidRPr="007A02E2">
        <w:t xml:space="preserve">POS systems meeting the requirements listed below will be strategically positioned to integrate with key provincial EHR assets and </w:t>
      </w:r>
      <w:r w:rsidR="009C1881">
        <w:t xml:space="preserve">support </w:t>
      </w:r>
      <w:r w:rsidRPr="007A02E2">
        <w:t xml:space="preserve">the province-wide exchange of clinical information. </w:t>
      </w:r>
      <w:r w:rsidR="00B60CE5">
        <w:t xml:space="preserve">The scope included in Ontario’s Digital Health Connectivity Requirements for Point-of-Service Procurements extends beyond the registries and repositories owned by Ontario Health and includes </w:t>
      </w:r>
      <w:r w:rsidR="005C3FE3">
        <w:t>clinical and administrative data</w:t>
      </w:r>
      <w:r w:rsidR="00B60CE5">
        <w:t xml:space="preserve"> that is shared in the provision of care or to assist with the provision of care in Ontario. </w:t>
      </w:r>
      <w:r w:rsidRPr="007A02E2">
        <w:t>Conforman</w:t>
      </w:r>
      <w:r w:rsidR="00814701">
        <w:t>ce to specific requirements (i.e</w:t>
      </w:r>
      <w:r w:rsidRPr="007A02E2">
        <w:t>.</w:t>
      </w:r>
      <w:r w:rsidR="00E304DF">
        <w:t>,</w:t>
      </w:r>
      <w:r w:rsidRPr="007A02E2">
        <w:t xml:space="preserve"> </w:t>
      </w:r>
      <w:r w:rsidR="004F7938" w:rsidRPr="004F7938">
        <w:t>HL7 FHIR®</w:t>
      </w:r>
      <w:r w:rsidR="005A0310">
        <w:t>, SNOMED CT®</w:t>
      </w:r>
      <w:r w:rsidRPr="007A02E2">
        <w:t xml:space="preserve">) </w:t>
      </w:r>
      <w:r w:rsidR="00AC1C80">
        <w:t>enables</w:t>
      </w:r>
      <w:r w:rsidRPr="007A02E2">
        <w:t xml:space="preserve"> streamlined clinician access to province-wide systems, including:</w:t>
      </w:r>
    </w:p>
    <w:p w14:paraId="2D93A70E" w14:textId="4BE25F75" w:rsidR="00690901" w:rsidRPr="007A02E2" w:rsidRDefault="00690901" w:rsidP="00274867">
      <w:pPr>
        <w:pStyle w:val="Body"/>
        <w:numPr>
          <w:ilvl w:val="0"/>
          <w:numId w:val="28"/>
        </w:numPr>
        <w:spacing w:before="60" w:after="60"/>
      </w:pPr>
      <w:r w:rsidRPr="005E1804">
        <w:rPr>
          <w:b/>
        </w:rPr>
        <w:t>EHR services</w:t>
      </w:r>
      <w:r w:rsidRPr="007A02E2">
        <w:t xml:space="preserve"> from </w:t>
      </w:r>
      <w:r w:rsidR="007F2E86">
        <w:t>Ontario Health</w:t>
      </w:r>
      <w:r w:rsidR="00E304DF">
        <w:t>;</w:t>
      </w:r>
    </w:p>
    <w:p w14:paraId="147C90D1" w14:textId="107A343A" w:rsidR="00690901" w:rsidRPr="007A02E2" w:rsidRDefault="00690901" w:rsidP="00274867">
      <w:pPr>
        <w:pStyle w:val="Body"/>
        <w:numPr>
          <w:ilvl w:val="0"/>
          <w:numId w:val="28"/>
        </w:numPr>
        <w:spacing w:before="60" w:after="60"/>
      </w:pPr>
      <w:r w:rsidRPr="75759B94">
        <w:rPr>
          <w:b/>
          <w:bCs/>
        </w:rPr>
        <w:t>Client Health and Related Information System (CHRIS)</w:t>
      </w:r>
      <w:r w:rsidR="56D74A3E" w:rsidRPr="75759B94">
        <w:rPr>
          <w:b/>
          <w:bCs/>
        </w:rPr>
        <w:t>,</w:t>
      </w:r>
      <w:r w:rsidR="00B51569">
        <w:rPr>
          <w:b/>
          <w:bCs/>
        </w:rPr>
        <w:t xml:space="preserve"> </w:t>
      </w:r>
      <w:r w:rsidR="56D74A3E" w:rsidRPr="75759B94">
        <w:rPr>
          <w:b/>
          <w:bCs/>
        </w:rPr>
        <w:t>via Health P</w:t>
      </w:r>
      <w:r w:rsidR="6F001120" w:rsidRPr="75759B94">
        <w:rPr>
          <w:b/>
          <w:bCs/>
        </w:rPr>
        <w:t>artner</w:t>
      </w:r>
      <w:r w:rsidR="56D74A3E" w:rsidRPr="75759B94">
        <w:rPr>
          <w:b/>
          <w:bCs/>
        </w:rPr>
        <w:t xml:space="preserve"> Gateway</w:t>
      </w:r>
      <w:r w:rsidR="00F85CB7">
        <w:rPr>
          <w:b/>
          <w:bCs/>
        </w:rPr>
        <w:t xml:space="preserve"> (HPG)</w:t>
      </w:r>
      <w:r w:rsidR="56D74A3E" w:rsidRPr="75759B94">
        <w:rPr>
          <w:b/>
          <w:bCs/>
        </w:rPr>
        <w:t xml:space="preserve">, </w:t>
      </w:r>
      <w:r w:rsidR="00F84493">
        <w:t>from Ontario Health</w:t>
      </w:r>
      <w:r w:rsidR="00E304DF">
        <w:t>;</w:t>
      </w:r>
    </w:p>
    <w:p w14:paraId="2783535D" w14:textId="11E15917" w:rsidR="00F84493" w:rsidRDefault="00690901" w:rsidP="00274867">
      <w:pPr>
        <w:pStyle w:val="Body"/>
        <w:numPr>
          <w:ilvl w:val="0"/>
          <w:numId w:val="28"/>
        </w:numPr>
        <w:spacing w:before="60" w:after="60"/>
      </w:pPr>
      <w:r w:rsidRPr="005E1804">
        <w:rPr>
          <w:b/>
        </w:rPr>
        <w:t>Ontario Telemedicine Network (OTN)</w:t>
      </w:r>
      <w:r w:rsidR="00F84493">
        <w:t xml:space="preserve"> from Ontario Health;</w:t>
      </w:r>
    </w:p>
    <w:p w14:paraId="12DB3033" w14:textId="06EF720D" w:rsidR="007F2E86" w:rsidRDefault="00690901" w:rsidP="00274867">
      <w:pPr>
        <w:pStyle w:val="Body"/>
        <w:numPr>
          <w:ilvl w:val="0"/>
          <w:numId w:val="28"/>
        </w:numPr>
        <w:spacing w:before="60" w:after="60"/>
      </w:pPr>
      <w:r w:rsidRPr="005E1804">
        <w:rPr>
          <w:b/>
        </w:rPr>
        <w:t>Cancer Care Ontario (CCO)</w:t>
      </w:r>
      <w:r w:rsidR="00F84493">
        <w:t xml:space="preserve"> from Ontario Health</w:t>
      </w:r>
      <w:r w:rsidR="00E304DF">
        <w:t>.</w:t>
      </w:r>
    </w:p>
    <w:p w14:paraId="479F1B0C" w14:textId="39F8D0BC" w:rsidR="00B13B71" w:rsidRDefault="007F2E86" w:rsidP="00F84493">
      <w:pPr>
        <w:pStyle w:val="Body"/>
        <w:spacing w:before="120" w:after="60"/>
      </w:pPr>
      <w:r>
        <w:t xml:space="preserve">Each POS system </w:t>
      </w:r>
      <w:r w:rsidR="005C35E4">
        <w:t>has</w:t>
      </w:r>
      <w:r>
        <w:t xml:space="preserve"> different requirements for connectivity: lab systems need to be integrated with OLIS, while </w:t>
      </w:r>
      <w:r w:rsidR="006E3BE0">
        <w:t>community</w:t>
      </w:r>
      <w:r w:rsidR="00CB5EFF">
        <w:t>-</w:t>
      </w:r>
      <w:r w:rsidR="006E3BE0">
        <w:t>care information system</w:t>
      </w:r>
      <w:r>
        <w:t xml:space="preserve">s may need to be integrated with OLIS, DHDR and DHIR. </w:t>
      </w:r>
      <w:r w:rsidR="00B83FF9">
        <w:t>W</w:t>
      </w:r>
      <w:r>
        <w:t>hen putting together an RFP/RFS</w:t>
      </w:r>
      <w:r w:rsidR="00CB5EFF">
        <w:t>,</w:t>
      </w:r>
      <w:r>
        <w:t xml:space="preserve"> </w:t>
      </w:r>
      <w:r w:rsidR="0A05DC12">
        <w:t>stakeholders</w:t>
      </w:r>
      <w:r w:rsidR="513A99FA">
        <w:t xml:space="preserve"> </w:t>
      </w:r>
      <w:r>
        <w:t xml:space="preserve">can pick and choose from the various requirements below based on </w:t>
      </w:r>
      <w:r w:rsidR="246EE6D2">
        <w:t xml:space="preserve">the </w:t>
      </w:r>
      <w:r>
        <w:t xml:space="preserve">system’s integration requirements. It is up to </w:t>
      </w:r>
      <w:r w:rsidR="7EFD7959">
        <w:t xml:space="preserve">stakeholders </w:t>
      </w:r>
      <w:r>
        <w:t xml:space="preserve">to determine if a requirement </w:t>
      </w:r>
      <w:r w:rsidR="00994D49">
        <w:t>needs</w:t>
      </w:r>
      <w:r w:rsidR="009C1881">
        <w:t xml:space="preserve"> to </w:t>
      </w:r>
      <w:r>
        <w:t>be included</w:t>
      </w:r>
      <w:r w:rsidR="009C1881">
        <w:t>, based on the business requirements</w:t>
      </w:r>
      <w:r>
        <w:t>.</w:t>
      </w:r>
      <w:r w:rsidR="00B13B71">
        <w:t xml:space="preserve"> </w:t>
      </w:r>
    </w:p>
    <w:p w14:paraId="7EF52216" w14:textId="2DAD7CF2" w:rsidR="00690901" w:rsidRPr="007A02E2" w:rsidRDefault="00131B49" w:rsidP="00F84493">
      <w:pPr>
        <w:pStyle w:val="Body"/>
        <w:spacing w:before="120" w:after="60"/>
      </w:pPr>
      <w:r>
        <w:t>Although standards and conformance will improve the potential for interoperability and greater access, t</w:t>
      </w:r>
      <w:r w:rsidR="00B13B71">
        <w:t xml:space="preserve">he POS systems in use and being procured will have different features, functions and levels of maturity </w:t>
      </w:r>
      <w:r>
        <w:t>that</w:t>
      </w:r>
      <w:r w:rsidR="00B13B71">
        <w:t xml:space="preserve"> will continue to change over time. The provincial EHR assets will also change and have </w:t>
      </w:r>
      <w:r>
        <w:t xml:space="preserve">different capabilities and functions that can influence the level of integration and information access. </w:t>
      </w:r>
    </w:p>
    <w:p w14:paraId="5EE558A8" w14:textId="412681D3" w:rsidR="00690901" w:rsidRPr="007A02E2" w:rsidRDefault="00690901" w:rsidP="00A13BE9">
      <w:pPr>
        <w:pStyle w:val="Heading2"/>
      </w:pPr>
      <w:bookmarkStart w:id="12" w:name="_Toc419199692"/>
      <w:bookmarkStart w:id="13" w:name="_Toc471821866"/>
      <w:bookmarkStart w:id="14" w:name="_Toc496269811"/>
      <w:bookmarkStart w:id="15" w:name="_Toc54610987"/>
      <w:r w:rsidRPr="007A02E2">
        <w:t>Why Connect to the Provincial E</w:t>
      </w:r>
      <w:r w:rsidR="00D76983">
        <w:t xml:space="preserve">lectronic </w:t>
      </w:r>
      <w:r w:rsidRPr="007A02E2">
        <w:t>H</w:t>
      </w:r>
      <w:r w:rsidR="00D76983">
        <w:t xml:space="preserve">ealth </w:t>
      </w:r>
      <w:r w:rsidRPr="007A02E2">
        <w:t>R</w:t>
      </w:r>
      <w:r w:rsidR="00D76983">
        <w:t>ecord</w:t>
      </w:r>
      <w:r w:rsidR="00964EF7">
        <w:t xml:space="preserve"> (EHR)</w:t>
      </w:r>
      <w:r w:rsidRPr="007A02E2">
        <w:t>?</w:t>
      </w:r>
      <w:bookmarkEnd w:id="12"/>
      <w:bookmarkEnd w:id="13"/>
      <w:bookmarkEnd w:id="14"/>
      <w:bookmarkEnd w:id="15"/>
    </w:p>
    <w:p w14:paraId="1F871341" w14:textId="7A408360" w:rsidR="00690901" w:rsidRDefault="00690901" w:rsidP="00690901">
      <w:pPr>
        <w:pStyle w:val="Body"/>
      </w:pPr>
      <w:r w:rsidRPr="007A02E2">
        <w:t>POS systems are designed to support integrated access to health</w:t>
      </w:r>
      <w:r w:rsidR="00CE07D7">
        <w:t xml:space="preserve"> </w:t>
      </w:r>
      <w:r w:rsidRPr="007A02E2">
        <w:t xml:space="preserve">care information, at any time and from any location. Providers need a comprehensive, up-to-date view of their patients’ </w:t>
      </w:r>
      <w:r w:rsidR="00095D80">
        <w:t>PHI</w:t>
      </w:r>
      <w:r w:rsidRPr="007A02E2">
        <w:t xml:space="preserve"> from all health</w:t>
      </w:r>
      <w:r w:rsidR="00CE07D7">
        <w:t xml:space="preserve"> </w:t>
      </w:r>
      <w:r w:rsidRPr="007A02E2">
        <w:t>care providers and organizations involved in their care</w:t>
      </w:r>
      <w:r w:rsidR="00E304DF">
        <w:t>. This view should include</w:t>
      </w:r>
      <w:r w:rsidR="004226D4">
        <w:t xml:space="preserve"> information such as</w:t>
      </w:r>
      <w:r w:rsidR="00E304DF">
        <w:t xml:space="preserve"> </w:t>
      </w:r>
      <w:r w:rsidRPr="007A02E2">
        <w:t>medication history, test results, allergies, immunizations, hospital reports, office and ambulatory consultations, encounter history, diagnostic results and assessments. This information may also need to be shared with other providers supporting the patient.</w:t>
      </w:r>
      <w:r w:rsidR="007D3CA4">
        <w:t xml:space="preserve"> There may be some providers without access to provincial EHR assets</w:t>
      </w:r>
      <w:r w:rsidR="00EE3782">
        <w:t xml:space="preserve"> and with limited bi-directional information flow. As systems continue to be </w:t>
      </w:r>
      <w:r w:rsidR="00B07112">
        <w:t xml:space="preserve">added, </w:t>
      </w:r>
      <w:r w:rsidR="00EE3782">
        <w:t xml:space="preserve">updated and additional health care providers are </w:t>
      </w:r>
      <w:r w:rsidR="00B07112">
        <w:t>provided access</w:t>
      </w:r>
      <w:r w:rsidR="00EE3782">
        <w:t xml:space="preserve">, the number of systems and providers with access should </w:t>
      </w:r>
      <w:r w:rsidR="00B07112">
        <w:t>increase and improve the provider and patient experience</w:t>
      </w:r>
      <w:r w:rsidR="00EE3782">
        <w:t xml:space="preserve">. These changes will only be possible through </w:t>
      </w:r>
      <w:r w:rsidR="00CF6C50">
        <w:t xml:space="preserve">effective </w:t>
      </w:r>
      <w:r w:rsidR="00EE3782">
        <w:t xml:space="preserve">planning and implementation </w:t>
      </w:r>
      <w:r w:rsidR="00B07112">
        <w:t>of digital health solutions</w:t>
      </w:r>
      <w:r w:rsidR="001629A1">
        <w:t xml:space="preserve"> that support collaborative communication and workflow, </w:t>
      </w:r>
      <w:r w:rsidR="00DE6E65">
        <w:t>with</w:t>
      </w:r>
      <w:r w:rsidR="001629A1">
        <w:t xml:space="preserve"> the potential to evolve and seamlessly integrate as the needs of patients and providers change</w:t>
      </w:r>
      <w:r w:rsidR="00EE3782">
        <w:t>.</w:t>
      </w:r>
    </w:p>
    <w:p w14:paraId="6F2ECF39" w14:textId="6946B653" w:rsidR="00690901" w:rsidRDefault="00690901" w:rsidP="0DCEC5F2">
      <w:pPr>
        <w:pStyle w:val="Body"/>
      </w:pPr>
      <w:r w:rsidRPr="007A02E2">
        <w:t>In order for POS systems to support integrated access to</w:t>
      </w:r>
      <w:r w:rsidR="001F23F1">
        <w:t>,</w:t>
      </w:r>
      <w:r w:rsidRPr="007A02E2">
        <w:t xml:space="preserve"> and sharing of</w:t>
      </w:r>
      <w:r w:rsidR="001F23F1">
        <w:t>,</w:t>
      </w:r>
      <w:r w:rsidRPr="007A02E2">
        <w:t xml:space="preserve"> health</w:t>
      </w:r>
      <w:r w:rsidR="001F23F1">
        <w:t xml:space="preserve"> </w:t>
      </w:r>
      <w:r w:rsidRPr="007A02E2">
        <w:t>care information</w:t>
      </w:r>
      <w:r w:rsidR="006849CD">
        <w:t>,</w:t>
      </w:r>
      <w:r w:rsidRPr="007A02E2">
        <w:t xml:space="preserve"> they must be </w:t>
      </w:r>
      <w:r w:rsidRPr="00A13BE9">
        <w:rPr>
          <w:b/>
          <w:bCs/>
        </w:rPr>
        <w:t>interoperable</w:t>
      </w:r>
      <w:r w:rsidRPr="007A02E2">
        <w:t xml:space="preserve"> with Ontario’s EHR assets. Interoperability </w:t>
      </w:r>
      <w:r w:rsidR="00067DDA">
        <w:t>enables</w:t>
      </w:r>
      <w:r w:rsidRPr="007A02E2">
        <w:t xml:space="preserve"> systems to connect to, exchange with, and process </w:t>
      </w:r>
      <w:r w:rsidR="00801E66">
        <w:t xml:space="preserve">complex clinical and administrative </w:t>
      </w:r>
      <w:r w:rsidRPr="007A02E2">
        <w:t>data from other systems so information sent from one system can be understood by another.</w:t>
      </w:r>
      <w:r w:rsidR="00986FE5">
        <w:t xml:space="preserve"> Key interoperability objectives include:</w:t>
      </w:r>
    </w:p>
    <w:p w14:paraId="51618E70" w14:textId="615A2AB0" w:rsidR="00986FE5" w:rsidRDefault="00986FE5" w:rsidP="00A07F72">
      <w:pPr>
        <w:pStyle w:val="Body"/>
        <w:numPr>
          <w:ilvl w:val="0"/>
          <w:numId w:val="35"/>
        </w:numPr>
        <w:spacing w:before="60" w:after="60"/>
      </w:pPr>
      <w:r>
        <w:t xml:space="preserve">More easily aggregate </w:t>
      </w:r>
      <w:r w:rsidR="00801E66">
        <w:t xml:space="preserve">and </w:t>
      </w:r>
      <w:r w:rsidR="00572A50">
        <w:t xml:space="preserve">release </w:t>
      </w:r>
      <w:r>
        <w:t>patient data for providers and patients</w:t>
      </w:r>
      <w:r w:rsidR="00B244BC">
        <w:t xml:space="preserve"> in provincial and local repositories</w:t>
      </w:r>
      <w:r>
        <w:t>;</w:t>
      </w:r>
    </w:p>
    <w:p w14:paraId="499FBF7C" w14:textId="614DC812" w:rsidR="00986FE5" w:rsidRDefault="00986FE5" w:rsidP="00994D49">
      <w:pPr>
        <w:pStyle w:val="Body"/>
        <w:numPr>
          <w:ilvl w:val="0"/>
          <w:numId w:val="35"/>
        </w:numPr>
        <w:spacing w:before="60" w:after="60"/>
      </w:pPr>
      <w:r>
        <w:t xml:space="preserve">Accurately </w:t>
      </w:r>
      <w:r w:rsidR="00CF6C50">
        <w:t xml:space="preserve">represent and </w:t>
      </w:r>
      <w:r>
        <w:t>preserve the meaning of clinical and administrative data;</w:t>
      </w:r>
    </w:p>
    <w:p w14:paraId="62E7C8B0" w14:textId="573969F1" w:rsidR="00C32426" w:rsidRDefault="00986FE5" w:rsidP="00C32426">
      <w:pPr>
        <w:pStyle w:val="Body"/>
        <w:numPr>
          <w:ilvl w:val="0"/>
          <w:numId w:val="35"/>
        </w:numPr>
        <w:spacing w:before="60" w:after="60"/>
      </w:pPr>
      <w:r>
        <w:t>Ensure</w:t>
      </w:r>
      <w:r w:rsidR="00754697">
        <w:t xml:space="preserve"> the</w:t>
      </w:r>
      <w:r>
        <w:t xml:space="preserve"> privacy </w:t>
      </w:r>
      <w:r w:rsidR="00754697">
        <w:t xml:space="preserve">and security </w:t>
      </w:r>
      <w:r>
        <w:t xml:space="preserve">of patient data </w:t>
      </w:r>
      <w:r w:rsidR="00C32426">
        <w:t>(with the support of EHR privacy and security policies and standards).</w:t>
      </w:r>
    </w:p>
    <w:p w14:paraId="2C133BE7" w14:textId="0D96B914" w:rsidR="00F36B1D" w:rsidRDefault="00F36B1D" w:rsidP="007C6D95">
      <w:pPr>
        <w:pStyle w:val="Body"/>
      </w:pPr>
      <w:r>
        <w:t xml:space="preserve">The procurement </w:t>
      </w:r>
      <w:r w:rsidR="001F6E0D">
        <w:t>of</w:t>
      </w:r>
      <w:r w:rsidR="00391D75">
        <w:t>,</w:t>
      </w:r>
      <w:r w:rsidR="001F6E0D">
        <w:t xml:space="preserve"> </w:t>
      </w:r>
      <w:r>
        <w:t>and attention to</w:t>
      </w:r>
      <w:r w:rsidR="00391D75">
        <w:t>,</w:t>
      </w:r>
      <w:r>
        <w:t xml:space="preserve"> interoperability for POS systems extends beyond the initial implementation, since standards and solutions change. Any procurement of POS systems and integration with provincial EHR assets also require</w:t>
      </w:r>
      <w:r w:rsidR="00EC67D4">
        <w:t>s</w:t>
      </w:r>
      <w:r>
        <w:t xml:space="preserve"> planning, monitoring and maintenance of solutions locally and provincially. </w:t>
      </w:r>
      <w:r w:rsidR="00914E75">
        <w:t xml:space="preserve">Special attention and documentation of your </w:t>
      </w:r>
      <w:r w:rsidR="00911AEE">
        <w:t xml:space="preserve">solution and </w:t>
      </w:r>
      <w:r w:rsidR="00914E75">
        <w:t>implementation decisions will be valuable to you as your solutions evolve over time</w:t>
      </w:r>
      <w:r w:rsidR="00911AEE">
        <w:t xml:space="preserve"> and require adjustments with updates to your local and integration solutions. </w:t>
      </w:r>
      <w:r>
        <w:t>This is very important for achieving and sustaining interoperability so Health Information Custodians</w:t>
      </w:r>
      <w:r w:rsidR="00484530">
        <w:t xml:space="preserve"> (HICs)</w:t>
      </w:r>
      <w:r>
        <w:t>, vendors and government organizations should all plan</w:t>
      </w:r>
      <w:r w:rsidR="00911AEE">
        <w:t>, manage</w:t>
      </w:r>
      <w:r>
        <w:t xml:space="preserve"> and budget for </w:t>
      </w:r>
      <w:r w:rsidR="00911AEE">
        <w:t xml:space="preserve">initial and future </w:t>
      </w:r>
      <w:r>
        <w:t xml:space="preserve">requirements </w:t>
      </w:r>
      <w:r w:rsidR="00914E75">
        <w:t>throughout the solution and information lifecycles</w:t>
      </w:r>
      <w:r>
        <w:t xml:space="preserve">. </w:t>
      </w:r>
    </w:p>
    <w:p w14:paraId="14E76528" w14:textId="507D1B4E" w:rsidR="00986FE5" w:rsidRPr="006F39A4" w:rsidRDefault="00986FE5" w:rsidP="007C6D95">
      <w:pPr>
        <w:pStyle w:val="Body"/>
      </w:pPr>
      <w:r>
        <w:t>The Ministry of Health’s endorsement of system interoperability is critical to effectively managing health</w:t>
      </w:r>
      <w:r w:rsidR="00484530">
        <w:t xml:space="preserve"> </w:t>
      </w:r>
      <w:r>
        <w:t>care resources and for the innovation, adoption and growth of digital health technology.</w:t>
      </w:r>
      <w:r w:rsidR="001A44B9">
        <w:t xml:space="preserve"> </w:t>
      </w:r>
      <w:r w:rsidR="006F39A4" w:rsidRPr="00C3080F">
        <w:t>This endorsement is demonstrated by t</w:t>
      </w:r>
      <w:r w:rsidR="006F39A4">
        <w:t>he proposed regulation (329/04)</w:t>
      </w:r>
      <w:r w:rsidR="006F39A4" w:rsidRPr="00C3080F">
        <w:t xml:space="preserve"> made under the </w:t>
      </w:r>
      <w:r w:rsidR="006F39A4" w:rsidRPr="007C6D95">
        <w:rPr>
          <w:i/>
          <w:iCs/>
        </w:rPr>
        <w:t>Personal Health Information Protection Act</w:t>
      </w:r>
      <w:r w:rsidR="006F39A4" w:rsidRPr="00C3080F">
        <w:t xml:space="preserve">, under which </w:t>
      </w:r>
      <w:r w:rsidR="006F39A4">
        <w:t>HICs would be required </w:t>
      </w:r>
      <w:r w:rsidR="006F39A4" w:rsidRPr="00C3080F">
        <w:t>to comply with interoperability specifications established by O</w:t>
      </w:r>
      <w:r w:rsidR="00484530">
        <w:t>ntario Health</w:t>
      </w:r>
      <w:r w:rsidR="006F39A4" w:rsidRPr="00C3080F">
        <w:t xml:space="preserve"> to modernize relevant digital health assets over time and to make use of certain O</w:t>
      </w:r>
      <w:r w:rsidR="00CD1FED">
        <w:t>ntario Health</w:t>
      </w:r>
      <w:r w:rsidR="006F39A4" w:rsidRPr="00C3080F">
        <w:t xml:space="preserve"> resources</w:t>
      </w:r>
      <w:r w:rsidR="00CD1FED">
        <w:t>. These</w:t>
      </w:r>
      <w:r w:rsidR="006F39A4" w:rsidRPr="00C3080F">
        <w:t xml:space="preserve"> includ</w:t>
      </w:r>
      <w:r w:rsidR="00CD1FED">
        <w:t>e</w:t>
      </w:r>
      <w:r w:rsidR="006F39A4" w:rsidRPr="00C3080F">
        <w:t xml:space="preserve"> a future list of OH-certified digital health assets to guide digital health asset acquisition.</w:t>
      </w:r>
      <w:r w:rsidR="000621F9">
        <w:t xml:space="preserve"> </w:t>
      </w:r>
      <w:r w:rsidR="00CF6C50">
        <w:t>Stakeholders are encouraged to monitor the progress with this proposed regulation, and to watch for future direction regarding digital health information exchange and interoperability in Ontario.</w:t>
      </w:r>
    </w:p>
    <w:p w14:paraId="3D3C46FC" w14:textId="5E8B104A" w:rsidR="00690901" w:rsidRDefault="00377146" w:rsidP="00690901">
      <w:pPr>
        <w:pStyle w:val="Heading1"/>
      </w:pPr>
      <w:bookmarkStart w:id="16" w:name="_Toc419199693"/>
      <w:bookmarkStart w:id="17" w:name="_Toc471821867"/>
      <w:bookmarkStart w:id="18" w:name="_Toc496269812"/>
      <w:bookmarkStart w:id="19" w:name="_Toc54610988"/>
      <w:r>
        <w:t xml:space="preserve">Overview: </w:t>
      </w:r>
      <w:r w:rsidR="00690901" w:rsidRPr="00220A06">
        <w:t xml:space="preserve">POS </w:t>
      </w:r>
      <w:r w:rsidR="003456AD">
        <w:t xml:space="preserve">System </w:t>
      </w:r>
      <w:r w:rsidR="00690901">
        <w:t>Requirements and Integration</w:t>
      </w:r>
      <w:bookmarkEnd w:id="16"/>
      <w:bookmarkEnd w:id="17"/>
      <w:bookmarkEnd w:id="18"/>
      <w:bookmarkEnd w:id="19"/>
    </w:p>
    <w:tbl>
      <w:tblPr>
        <w:tblStyle w:val="TableGrid"/>
        <w:tblW w:w="9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ayout w:type="fixed"/>
        <w:tblLook w:val="04A0" w:firstRow="1" w:lastRow="0" w:firstColumn="1" w:lastColumn="0" w:noHBand="0" w:noVBand="1"/>
      </w:tblPr>
      <w:tblGrid>
        <w:gridCol w:w="900"/>
        <w:gridCol w:w="8364"/>
      </w:tblGrid>
      <w:tr w:rsidR="00082D42" w14:paraId="52A5D97D" w14:textId="77777777" w:rsidTr="228950F6">
        <w:tc>
          <w:tcPr>
            <w:tcW w:w="900" w:type="dxa"/>
            <w:shd w:val="clear" w:color="auto" w:fill="EEECE1" w:themeFill="background2"/>
            <w:vAlign w:val="center"/>
          </w:tcPr>
          <w:p w14:paraId="0A70A3CA" w14:textId="28B40B58" w:rsidR="00082D42" w:rsidRPr="00B43C7D" w:rsidRDefault="00EB3C13" w:rsidP="00805359">
            <w:pPr>
              <w:pStyle w:val="Body"/>
              <w:jc w:val="center"/>
            </w:pPr>
            <w:r>
              <w:rPr>
                <w:rFonts w:ascii="Medium-65" w:hAnsi="Medium-65" w:cs="Arial"/>
                <w:noProof/>
                <w:color w:val="6D6D6D"/>
                <w:sz w:val="21"/>
                <w:szCs w:val="21"/>
              </w:rPr>
              <w:drawing>
                <wp:inline distT="0" distB="0" distL="0" distR="0" wp14:anchorId="6911918F" wp14:editId="6775AA52">
                  <wp:extent cx="486069" cy="486069"/>
                  <wp:effectExtent l="0" t="0" r="9525" b="9525"/>
                  <wp:docPr id="13" name="Picture 13" descr="Pencil Icon 2310465">
                    <a:hlinkClick xmlns:a="http://schemas.openxmlformats.org/drawingml/2006/main" r:id="rId19" tooltip="&quot;Penc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cil Icon 2310465">
                            <a:hlinkClick r:id="rId19" tooltip="&quot;Pencil&quot;"/>
                          </pic:cNvPr>
                          <pic:cNvPicPr>
                            <a:picLocks noChangeAspect="1" noChangeArrowheads="1"/>
                          </pic:cNvPicPr>
                        </pic:nvPicPr>
                        <pic:blipFill>
                          <a:blip r:embed="rId20" cstate="screen">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4906" cy="494906"/>
                          </a:xfrm>
                          <a:prstGeom prst="rect">
                            <a:avLst/>
                          </a:prstGeom>
                          <a:noFill/>
                          <a:ln>
                            <a:noFill/>
                          </a:ln>
                        </pic:spPr>
                      </pic:pic>
                    </a:graphicData>
                  </a:graphic>
                </wp:inline>
              </w:drawing>
            </w:r>
          </w:p>
        </w:tc>
        <w:tc>
          <w:tcPr>
            <w:tcW w:w="8364" w:type="dxa"/>
            <w:shd w:val="clear" w:color="auto" w:fill="EEECE1" w:themeFill="background2"/>
            <w:vAlign w:val="center"/>
          </w:tcPr>
          <w:p w14:paraId="1E4831A9" w14:textId="273D75A1" w:rsidR="00082D42" w:rsidRPr="00654F4B" w:rsidRDefault="00EB3C13" w:rsidP="00EB3C13">
            <w:pPr>
              <w:pStyle w:val="Body"/>
              <w:spacing w:line="240" w:lineRule="auto"/>
              <w:rPr>
                <w:color w:val="404040" w:themeColor="text1" w:themeTint="BF"/>
                <w:spacing w:val="-2"/>
                <w:sz w:val="20"/>
                <w:szCs w:val="20"/>
              </w:rPr>
            </w:pPr>
            <w:r w:rsidRPr="00EB3C13">
              <w:rPr>
                <w:color w:val="404040" w:themeColor="text1" w:themeTint="BF"/>
                <w:spacing w:val="-2"/>
                <w:sz w:val="20"/>
                <w:szCs w:val="20"/>
              </w:rPr>
              <w:t xml:space="preserve">To help POS system procurements achieve EHR interoperability, it is recommended that the </w:t>
            </w:r>
            <w:r w:rsidRPr="00EB3C13">
              <w:rPr>
                <w:rFonts w:asciiTheme="minorHAnsi" w:hAnsiTheme="minorHAnsi"/>
                <w:b/>
                <w:color w:val="C05B08"/>
                <w:spacing w:val="-2"/>
                <w:sz w:val="18"/>
                <w:szCs w:val="18"/>
              </w:rPr>
              <w:t>requirements</w:t>
            </w:r>
            <w:r w:rsidRPr="00EB3C13">
              <w:rPr>
                <w:color w:val="404040" w:themeColor="text1" w:themeTint="BF"/>
                <w:spacing w:val="-2"/>
                <w:sz w:val="20"/>
                <w:szCs w:val="20"/>
              </w:rPr>
              <w:t xml:space="preserve"> listed in this document be included in </w:t>
            </w:r>
            <w:r w:rsidRPr="00EB3C13">
              <w:rPr>
                <w:rFonts w:asciiTheme="minorHAnsi" w:hAnsiTheme="minorHAnsi"/>
                <w:b/>
                <w:color w:val="C05B08"/>
                <w:spacing w:val="-2"/>
                <w:sz w:val="18"/>
                <w:szCs w:val="18"/>
              </w:rPr>
              <w:t>procurement documentation</w:t>
            </w:r>
            <w:r w:rsidRPr="00EB3C13">
              <w:rPr>
                <w:color w:val="404040" w:themeColor="text1" w:themeTint="BF"/>
                <w:spacing w:val="-2"/>
                <w:sz w:val="20"/>
                <w:szCs w:val="20"/>
              </w:rPr>
              <w:t xml:space="preserve"> </w:t>
            </w:r>
            <w:r w:rsidR="00ED193F">
              <w:rPr>
                <w:color w:val="404040" w:themeColor="text1" w:themeTint="BF"/>
                <w:spacing w:val="-2"/>
                <w:sz w:val="20"/>
                <w:szCs w:val="20"/>
              </w:rPr>
              <w:br/>
            </w:r>
            <w:r w:rsidRPr="00EB3C13">
              <w:rPr>
                <w:color w:val="404040" w:themeColor="text1" w:themeTint="BF"/>
                <w:spacing w:val="-2"/>
                <w:sz w:val="20"/>
                <w:szCs w:val="20"/>
              </w:rPr>
              <w:t>(e.g., Requests for Information, Requests for Proposals, Business Cases, Contracts, etc.).</w:t>
            </w:r>
          </w:p>
        </w:tc>
      </w:tr>
    </w:tbl>
    <w:p w14:paraId="4C6656CD" w14:textId="7ED4F289" w:rsidR="00690901" w:rsidRPr="007A02E2" w:rsidRDefault="00690901" w:rsidP="00ED193F">
      <w:pPr>
        <w:pStyle w:val="Body"/>
        <w:spacing w:before="180"/>
      </w:pPr>
      <w:r w:rsidRPr="007A02E2">
        <w:t>The requirements support</w:t>
      </w:r>
      <w:r w:rsidR="005E1804">
        <w:t>ing</w:t>
      </w:r>
      <w:r w:rsidRPr="007A02E2">
        <w:t xml:space="preserve"> POS connectivity to provincial assets such as the </w:t>
      </w:r>
      <w:r w:rsidR="006849CD">
        <w:t>P</w:t>
      </w:r>
      <w:r w:rsidR="006849CD" w:rsidRPr="007A02E2">
        <w:t xml:space="preserve">rovider </w:t>
      </w:r>
      <w:r w:rsidRPr="007A02E2">
        <w:t xml:space="preserve">and </w:t>
      </w:r>
      <w:r w:rsidR="006849CD">
        <w:t>C</w:t>
      </w:r>
      <w:r w:rsidRPr="007A02E2">
        <w:t xml:space="preserve">lient </w:t>
      </w:r>
      <w:r w:rsidR="007D2815">
        <w:t>R</w:t>
      </w:r>
      <w:r w:rsidR="007D2815" w:rsidRPr="007A02E2">
        <w:t xml:space="preserve">egistries </w:t>
      </w:r>
      <w:r w:rsidRPr="007A02E2">
        <w:t xml:space="preserve">and the </w:t>
      </w:r>
      <w:r w:rsidR="003456AD">
        <w:t xml:space="preserve">Acute and Community </w:t>
      </w:r>
      <w:r w:rsidR="006849CD">
        <w:t>C</w:t>
      </w:r>
      <w:r w:rsidRPr="007A02E2">
        <w:t xml:space="preserve">linical </w:t>
      </w:r>
      <w:r w:rsidR="006849CD">
        <w:t>D</w:t>
      </w:r>
      <w:r w:rsidRPr="007A02E2">
        <w:t xml:space="preserve">ata </w:t>
      </w:r>
      <w:r w:rsidR="006849CD">
        <w:t>R</w:t>
      </w:r>
      <w:r w:rsidRPr="007A02E2">
        <w:t>epository (</w:t>
      </w:r>
      <w:r w:rsidR="003456AD">
        <w:t>ac</w:t>
      </w:r>
      <w:r w:rsidRPr="007A02E2">
        <w:t>CDR) are considered the core architectural considerations a new POS system should suppor</w:t>
      </w:r>
      <w:r w:rsidR="0049584A">
        <w:t>t.</w:t>
      </w:r>
    </w:p>
    <w:p w14:paraId="0D1CE046" w14:textId="77777777" w:rsidR="00690901" w:rsidRPr="007A02E2" w:rsidRDefault="00690901" w:rsidP="00690901">
      <w:pPr>
        <w:pStyle w:val="Body"/>
      </w:pPr>
      <w:r w:rsidRPr="007A02E2">
        <w:t>A significant effort is required to integrate with any EHR service. Suggested priorities for the most gain for effort are:</w:t>
      </w:r>
    </w:p>
    <w:p w14:paraId="29DDF02F" w14:textId="31C08AE7" w:rsidR="000E275E" w:rsidRDefault="00690901" w:rsidP="00274867">
      <w:pPr>
        <w:pStyle w:val="Body"/>
        <w:keepNext/>
        <w:keepLines/>
        <w:numPr>
          <w:ilvl w:val="0"/>
          <w:numId w:val="29"/>
        </w:numPr>
      </w:pPr>
      <w:r w:rsidRPr="00A13BE9">
        <w:rPr>
          <w:b/>
          <w:bCs/>
        </w:rPr>
        <w:t xml:space="preserve">POS single sign-on (SSO) and federation with regional/provincial </w:t>
      </w:r>
      <w:r w:rsidR="007F0BE1" w:rsidRPr="00A13BE9">
        <w:rPr>
          <w:b/>
          <w:bCs/>
        </w:rPr>
        <w:t xml:space="preserve">clinical </w:t>
      </w:r>
      <w:r w:rsidRPr="00A13BE9">
        <w:rPr>
          <w:b/>
          <w:bCs/>
        </w:rPr>
        <w:t>viewers</w:t>
      </w:r>
      <w:r w:rsidRPr="007A02E2">
        <w:t xml:space="preserve">: Providing increased access to client information, </w:t>
      </w:r>
      <w:r w:rsidR="007D2815">
        <w:t>SSO</w:t>
      </w:r>
      <w:r w:rsidRPr="007A02E2">
        <w:t xml:space="preserve"> means that once providers have logged on to their POS system, no subsequent logons are required. </w:t>
      </w:r>
      <w:r w:rsidR="000E275E">
        <w:t>A ‘federated’ environment allows distinct systems from different organizations</w:t>
      </w:r>
      <w:r w:rsidR="00AA63EC">
        <w:t xml:space="preserve"> and/or</w:t>
      </w:r>
      <w:r w:rsidR="000E275E">
        <w:t xml:space="preserve"> lines of business to </w:t>
      </w:r>
      <w:r w:rsidR="00D857B7">
        <w:t xml:space="preserve">use </w:t>
      </w:r>
      <w:r w:rsidR="000E275E">
        <w:t>single sign-on (SSO) which</w:t>
      </w:r>
      <w:r w:rsidR="00700D9C">
        <w:t xml:space="preserve"> provides</w:t>
      </w:r>
      <w:r w:rsidR="000E275E">
        <w:t xml:space="preserve"> a user a seamless method for accessing multiple </w:t>
      </w:r>
      <w:r w:rsidR="00700D9C">
        <w:t>d</w:t>
      </w:r>
      <w:r w:rsidR="000E275E">
        <w:t xml:space="preserve">elivery </w:t>
      </w:r>
      <w:r w:rsidR="00700D9C">
        <w:t>c</w:t>
      </w:r>
      <w:r w:rsidR="000E275E">
        <w:t>hannels</w:t>
      </w:r>
      <w:r w:rsidR="00590206">
        <w:t xml:space="preserve"> using local credentials</w:t>
      </w:r>
      <w:r w:rsidRPr="007A02E2">
        <w:t xml:space="preserve">. </w:t>
      </w:r>
    </w:p>
    <w:p w14:paraId="23854666" w14:textId="72CE4975" w:rsidR="00690901" w:rsidRPr="007A02E2" w:rsidRDefault="000E275E" w:rsidP="00F26474">
      <w:pPr>
        <w:pStyle w:val="Body"/>
        <w:keepNext/>
        <w:keepLines/>
        <w:ind w:left="720"/>
      </w:pPr>
      <w:r>
        <w:t xml:space="preserve">Context sharing means that once a provider has selected a client in the POS system, the provider does not have to select the patient again in an integrated system. </w:t>
      </w:r>
    </w:p>
    <w:p w14:paraId="4AEA885A" w14:textId="1E8E25B8" w:rsidR="00690901" w:rsidRPr="007A02E2" w:rsidRDefault="00690901" w:rsidP="00274867">
      <w:pPr>
        <w:pStyle w:val="Body"/>
        <w:numPr>
          <w:ilvl w:val="0"/>
          <w:numId w:val="29"/>
        </w:numPr>
      </w:pPr>
      <w:r w:rsidRPr="05984D8C">
        <w:rPr>
          <w:b/>
          <w:bCs/>
        </w:rPr>
        <w:t>Integration requirements that ensure use of client and provider identifiers</w:t>
      </w:r>
      <w:r>
        <w:t>: Ensuring the use of common identifiers amongst other EHR services will help validate clients and providers</w:t>
      </w:r>
      <w:r w:rsidR="007D2815">
        <w:t>,</w:t>
      </w:r>
      <w:r w:rsidR="0038022F">
        <w:t xml:space="preserve"> as well as</w:t>
      </w:r>
      <w:r>
        <w:t xml:space="preserve"> improve data integrity.</w:t>
      </w:r>
    </w:p>
    <w:p w14:paraId="4D793A23" w14:textId="669E841E" w:rsidR="00690901" w:rsidRPr="007A02E2" w:rsidRDefault="00690901" w:rsidP="00274867">
      <w:pPr>
        <w:pStyle w:val="Body"/>
        <w:numPr>
          <w:ilvl w:val="0"/>
          <w:numId w:val="29"/>
        </w:numPr>
      </w:pPr>
      <w:r w:rsidRPr="05984D8C">
        <w:rPr>
          <w:b/>
          <w:bCs/>
        </w:rPr>
        <w:t>Direct integration to repository services</w:t>
      </w:r>
      <w:r>
        <w:t xml:space="preserve">: Access to EHR provincial repository data (e.g. DHDR, DHIR, </w:t>
      </w:r>
      <w:r w:rsidR="003456AD">
        <w:t>ac</w:t>
      </w:r>
      <w:r>
        <w:t xml:space="preserve">CDR, OLIS, DICS) from a provider’s POS will simplify the workflow and lookup of </w:t>
      </w:r>
      <w:r w:rsidR="00E019B7">
        <w:t>patient data.</w:t>
      </w:r>
    </w:p>
    <w:p w14:paraId="1E0888D0" w14:textId="1C3F0396" w:rsidR="006E3BE0" w:rsidRPr="007A02E2" w:rsidRDefault="006E3BE0" w:rsidP="0049584A">
      <w:pPr>
        <w:pStyle w:val="Body"/>
        <w:spacing w:before="180"/>
      </w:pPr>
      <w:r w:rsidRPr="006E3BE0">
        <w:t xml:space="preserve">The following requirements for POS system interoperability with EHR assets are provided to </w:t>
      </w:r>
      <w:r w:rsidR="007D2815">
        <w:t xml:space="preserve">guide </w:t>
      </w:r>
      <w:r w:rsidRPr="006E3BE0">
        <w:t xml:space="preserve">organizations planning POS system procurement. Organizations still </w:t>
      </w:r>
      <w:r w:rsidR="00146460">
        <w:t>need to</w:t>
      </w:r>
      <w:r w:rsidR="00146460" w:rsidRPr="006E3BE0">
        <w:t xml:space="preserve"> </w:t>
      </w:r>
      <w:r w:rsidRPr="006E3BE0">
        <w:t>thorough</w:t>
      </w:r>
      <w:r w:rsidR="00146460">
        <w:t>ly</w:t>
      </w:r>
      <w:r w:rsidRPr="006E3BE0">
        <w:t xml:space="preserve"> vet </w:t>
      </w:r>
      <w:r w:rsidR="00A72DD4">
        <w:t>candid</w:t>
      </w:r>
      <w:r w:rsidR="00146460">
        <w:t xml:space="preserve">ate POS systems </w:t>
      </w:r>
      <w:r w:rsidRPr="006E3BE0">
        <w:t>to ensure alignment of clinical requirements.</w:t>
      </w:r>
      <w:r>
        <w:t xml:space="preserve"> </w:t>
      </w:r>
      <w:r w:rsidR="00690901" w:rsidRPr="007A02E2">
        <w:t xml:space="preserve">Each POS </w:t>
      </w:r>
      <w:r w:rsidR="00146460">
        <w:t xml:space="preserve">procurement </w:t>
      </w:r>
      <w:r w:rsidR="00690901" w:rsidRPr="007A02E2">
        <w:t>initiative must specify the business requirements for the type of interoperability it will requir</w:t>
      </w:r>
      <w:r w:rsidR="00690901">
        <w:t xml:space="preserve">e. Stakeholders should contact Ontario Health </w:t>
      </w:r>
      <w:r w:rsidR="00690901" w:rsidRPr="007A02E2">
        <w:t>for help with the integration effort</w:t>
      </w:r>
      <w:r w:rsidR="001548CD">
        <w:t xml:space="preserve"> </w:t>
      </w:r>
      <w:r w:rsidR="001548CD" w:rsidRPr="001548CD">
        <w:rPr>
          <w:u w:val="single"/>
          <w:lang w:val="en-CA"/>
        </w:rPr>
        <w:t>oh-ds_architecture@ontariohealth.ca</w:t>
      </w:r>
    </w:p>
    <w:p w14:paraId="351415D7" w14:textId="4FF411C7" w:rsidR="006E3BE0" w:rsidRDefault="006E3BE0" w:rsidP="0DCEC5F2">
      <w:pPr>
        <w:pStyle w:val="Heading1"/>
      </w:pPr>
      <w:bookmarkStart w:id="20" w:name="_Toc54610989"/>
      <w:r>
        <w:t>Provincial Registry Requirements</w:t>
      </w:r>
      <w:bookmarkEnd w:id="20"/>
    </w:p>
    <w:tbl>
      <w:tblPr>
        <w:tblStyle w:val="TableGrid"/>
        <w:tblW w:w="9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ayout w:type="fixed"/>
        <w:tblLook w:val="04A0" w:firstRow="1" w:lastRow="0" w:firstColumn="1" w:lastColumn="0" w:noHBand="0" w:noVBand="1"/>
      </w:tblPr>
      <w:tblGrid>
        <w:gridCol w:w="900"/>
        <w:gridCol w:w="8364"/>
      </w:tblGrid>
      <w:tr w:rsidR="00513667" w14:paraId="21A5557A" w14:textId="77777777" w:rsidTr="228950F6">
        <w:tc>
          <w:tcPr>
            <w:tcW w:w="900" w:type="dxa"/>
            <w:shd w:val="clear" w:color="auto" w:fill="EEECE1" w:themeFill="background2"/>
            <w:vAlign w:val="center"/>
          </w:tcPr>
          <w:p w14:paraId="14DD4904" w14:textId="55D88DE1" w:rsidR="00513667" w:rsidRPr="00B43C7D" w:rsidRDefault="009B7A32" w:rsidP="00805359">
            <w:pPr>
              <w:pStyle w:val="Body"/>
              <w:jc w:val="center"/>
            </w:pPr>
            <w:r>
              <w:rPr>
                <w:rFonts w:ascii="Medium-65" w:hAnsi="Medium-65" w:cs="Arial"/>
                <w:noProof/>
                <w:color w:val="6D6D6D"/>
                <w:sz w:val="21"/>
                <w:szCs w:val="21"/>
              </w:rPr>
              <w:drawing>
                <wp:inline distT="0" distB="0" distL="0" distR="0" wp14:anchorId="6538BD6F" wp14:editId="435194C0">
                  <wp:extent cx="402476" cy="402476"/>
                  <wp:effectExtent l="0" t="0" r="0" b="0"/>
                  <wp:docPr id="23" name="Picture 23" descr="crowd Icon 2383331">
                    <a:hlinkClick xmlns:a="http://schemas.openxmlformats.org/drawingml/2006/main" r:id="rId21" tooltip="&quot;crow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owd Icon 2383331">
                            <a:hlinkClick r:id="rId21" tooltip="&quot;crowd&quot;"/>
                          </pic:cNvPr>
                          <pic:cNvPicPr>
                            <a:picLocks noChangeAspect="1" noChangeArrowheads="1"/>
                          </pic:cNvPicPr>
                        </pic:nvPicPr>
                        <pic:blipFill>
                          <a:blip r:embed="rId22" cstate="screen">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411595" cy="411595"/>
                          </a:xfrm>
                          <a:prstGeom prst="rect">
                            <a:avLst/>
                          </a:prstGeom>
                          <a:noFill/>
                          <a:ln>
                            <a:noFill/>
                          </a:ln>
                        </pic:spPr>
                      </pic:pic>
                    </a:graphicData>
                  </a:graphic>
                </wp:inline>
              </w:drawing>
            </w:r>
          </w:p>
        </w:tc>
        <w:tc>
          <w:tcPr>
            <w:tcW w:w="8364" w:type="dxa"/>
            <w:shd w:val="clear" w:color="auto" w:fill="EEECE1" w:themeFill="background2"/>
            <w:vAlign w:val="center"/>
          </w:tcPr>
          <w:p w14:paraId="0846DD52" w14:textId="3175801B" w:rsidR="00513667" w:rsidRPr="00654F4B" w:rsidRDefault="009B7A32" w:rsidP="009B7A32">
            <w:pPr>
              <w:pStyle w:val="Body"/>
              <w:spacing w:line="240" w:lineRule="auto"/>
              <w:rPr>
                <w:color w:val="404040" w:themeColor="text1" w:themeTint="BF"/>
                <w:spacing w:val="-2"/>
                <w:sz w:val="20"/>
                <w:szCs w:val="20"/>
              </w:rPr>
            </w:pPr>
            <w:r w:rsidRPr="00917C5A">
              <w:rPr>
                <w:color w:val="404040" w:themeColor="text1" w:themeTint="BF"/>
                <w:spacing w:val="-2"/>
                <w:sz w:val="20"/>
                <w:szCs w:val="20"/>
              </w:rPr>
              <w:t xml:space="preserve">The following requirements for POS </w:t>
            </w:r>
            <w:r w:rsidRPr="009B7A32">
              <w:rPr>
                <w:rFonts w:asciiTheme="minorHAnsi" w:hAnsiTheme="minorHAnsi"/>
                <w:b/>
                <w:color w:val="C05B08"/>
                <w:spacing w:val="-2"/>
                <w:sz w:val="18"/>
                <w:szCs w:val="18"/>
              </w:rPr>
              <w:t xml:space="preserve">system </w:t>
            </w:r>
            <w:r w:rsidRPr="00917C5A">
              <w:rPr>
                <w:rFonts w:asciiTheme="minorHAnsi" w:hAnsiTheme="minorHAnsi"/>
                <w:b/>
                <w:color w:val="C05B08"/>
                <w:spacing w:val="-2"/>
                <w:sz w:val="18"/>
                <w:szCs w:val="18"/>
              </w:rPr>
              <w:t xml:space="preserve">interoperability </w:t>
            </w:r>
            <w:r w:rsidRPr="009B7A32">
              <w:rPr>
                <w:color w:val="404040" w:themeColor="text1" w:themeTint="BF"/>
                <w:spacing w:val="-2"/>
                <w:sz w:val="20"/>
                <w:szCs w:val="20"/>
              </w:rPr>
              <w:t xml:space="preserve">with </w:t>
            </w:r>
            <w:r>
              <w:rPr>
                <w:rFonts w:asciiTheme="minorHAnsi" w:hAnsiTheme="minorHAnsi"/>
                <w:b/>
                <w:color w:val="C05B08"/>
                <w:spacing w:val="-2"/>
                <w:sz w:val="18"/>
                <w:szCs w:val="18"/>
              </w:rPr>
              <w:t>provincial registries</w:t>
            </w:r>
            <w:r w:rsidRPr="00917C5A">
              <w:rPr>
                <w:color w:val="404040" w:themeColor="text1" w:themeTint="BF"/>
                <w:spacing w:val="-2"/>
                <w:sz w:val="20"/>
                <w:szCs w:val="20"/>
              </w:rPr>
              <w:t xml:space="preserve"> are provided as guidance to organizations planning POS syste</w:t>
            </w:r>
            <w:r>
              <w:rPr>
                <w:color w:val="404040" w:themeColor="text1" w:themeTint="BF"/>
                <w:spacing w:val="-2"/>
                <w:sz w:val="20"/>
                <w:szCs w:val="20"/>
              </w:rPr>
              <w:t>m procurement.</w:t>
            </w:r>
          </w:p>
        </w:tc>
      </w:tr>
    </w:tbl>
    <w:p w14:paraId="2C00792E" w14:textId="40386CB3" w:rsidR="00616FD0" w:rsidRDefault="00616FD0" w:rsidP="00616FD0">
      <w:pPr>
        <w:pStyle w:val="Body"/>
        <w:spacing w:before="180" w:after="40"/>
      </w:pPr>
      <w:r>
        <w:t>Topics in this section include:</w:t>
      </w:r>
    </w:p>
    <w:p w14:paraId="21D15D6B" w14:textId="211B6757" w:rsidR="00616FD0" w:rsidRDefault="00616FD0" w:rsidP="00616FD0">
      <w:pPr>
        <w:pStyle w:val="Body"/>
        <w:numPr>
          <w:ilvl w:val="0"/>
          <w:numId w:val="40"/>
        </w:numPr>
        <w:spacing w:before="40" w:after="40"/>
      </w:pPr>
      <w:r>
        <w:t xml:space="preserve">Provincial Provider Registry (PPR): Section </w:t>
      </w:r>
      <w:r>
        <w:fldChar w:fldCharType="begin"/>
      </w:r>
      <w:r>
        <w:instrText xml:space="preserve"> REF _Ref40878836 \r \h </w:instrText>
      </w:r>
      <w:r>
        <w:fldChar w:fldCharType="separate"/>
      </w:r>
      <w:r w:rsidR="00994D49">
        <w:t>3.1</w:t>
      </w:r>
      <w:r>
        <w:fldChar w:fldCharType="end"/>
      </w:r>
      <w:r>
        <w:t>;</w:t>
      </w:r>
    </w:p>
    <w:p w14:paraId="4B7C6820" w14:textId="5953F04C" w:rsidR="00616FD0" w:rsidRDefault="00616FD0" w:rsidP="00616FD0">
      <w:pPr>
        <w:pStyle w:val="Body"/>
        <w:numPr>
          <w:ilvl w:val="0"/>
          <w:numId w:val="40"/>
        </w:numPr>
        <w:spacing w:before="40" w:after="40"/>
      </w:pPr>
      <w:r>
        <w:t xml:space="preserve">Provincial Client Registry (PCR): Section </w:t>
      </w:r>
      <w:r>
        <w:fldChar w:fldCharType="begin"/>
      </w:r>
      <w:r>
        <w:instrText xml:space="preserve"> REF _Ref40878842 \r \h </w:instrText>
      </w:r>
      <w:r>
        <w:fldChar w:fldCharType="separate"/>
      </w:r>
      <w:r w:rsidR="00994D49">
        <w:t>3.2</w:t>
      </w:r>
      <w:r>
        <w:fldChar w:fldCharType="end"/>
      </w:r>
      <w:r>
        <w:t>.</w:t>
      </w:r>
    </w:p>
    <w:p w14:paraId="5464B638" w14:textId="7C7D4300" w:rsidR="006E3BE0" w:rsidRPr="0085679B" w:rsidRDefault="006E3BE0" w:rsidP="006C5941">
      <w:pPr>
        <w:pStyle w:val="Heading2"/>
        <w:spacing w:after="240"/>
      </w:pPr>
      <w:bookmarkStart w:id="21" w:name="_Ref40878836"/>
      <w:bookmarkStart w:id="22" w:name="_Toc54610990"/>
      <w:r>
        <w:t>Provincial Provider Registry (PPR)</w:t>
      </w:r>
      <w:bookmarkEnd w:id="21"/>
      <w:bookmarkEnd w:id="22"/>
    </w:p>
    <w:tbl>
      <w:tblPr>
        <w:tblStyle w:val="TableGrid"/>
        <w:tblW w:w="0" w:type="auto"/>
        <w:tblLook w:val="04A0" w:firstRow="1" w:lastRow="0" w:firstColumn="1" w:lastColumn="0" w:noHBand="0" w:noVBand="1"/>
      </w:tblPr>
      <w:tblGrid>
        <w:gridCol w:w="7020"/>
        <w:gridCol w:w="2340"/>
      </w:tblGrid>
      <w:tr w:rsidR="00BC5CBA" w14:paraId="08D13397" w14:textId="41975EF4" w:rsidTr="228950F6">
        <w:tc>
          <w:tcPr>
            <w:tcW w:w="7020" w:type="dxa"/>
            <w:tcBorders>
              <w:left w:val="nil"/>
              <w:bottom w:val="nil"/>
              <w:right w:val="nil"/>
            </w:tcBorders>
            <w:shd w:val="clear" w:color="auto" w:fill="F8F8F8"/>
            <w:tcMar>
              <w:top w:w="58" w:type="dxa"/>
              <w:left w:w="115" w:type="dxa"/>
              <w:bottom w:w="58" w:type="dxa"/>
              <w:right w:w="115" w:type="dxa"/>
            </w:tcMar>
          </w:tcPr>
          <w:p w14:paraId="5EFBCE4C" w14:textId="7096DF7F" w:rsidR="00BC5CBA" w:rsidRPr="00BC5CBA" w:rsidRDefault="00BC5CBA" w:rsidP="00BC5CBA">
            <w:pPr>
              <w:pStyle w:val="TableText"/>
              <w:ind w:right="60"/>
              <w:rPr>
                <w:b/>
                <w:sz w:val="20"/>
                <w:szCs w:val="20"/>
                <w:lang w:val="en-CA" w:eastAsia="en-CA"/>
              </w:rPr>
            </w:pPr>
            <w:r w:rsidRPr="00BC5CBA">
              <w:rPr>
                <w:b/>
                <w:sz w:val="20"/>
                <w:szCs w:val="20"/>
                <w:lang w:val="en-CA" w:eastAsia="en-CA"/>
              </w:rPr>
              <w:t>Description</w:t>
            </w:r>
          </w:p>
          <w:p w14:paraId="0679C6ED" w14:textId="40FEB83E" w:rsidR="00BC5CBA" w:rsidRPr="002B7F6A" w:rsidRDefault="00BC5CBA" w:rsidP="0021508F">
            <w:pPr>
              <w:pStyle w:val="TableText"/>
              <w:spacing w:after="0"/>
              <w:ind w:right="58"/>
              <w:rPr>
                <w:lang w:val="en-CA" w:eastAsia="en-CA"/>
              </w:rPr>
            </w:pPr>
            <w:r w:rsidRPr="003F5431">
              <w:rPr>
                <w:lang w:val="en-CA" w:eastAsia="en-CA"/>
              </w:rPr>
              <w:t xml:space="preserve">The POS solution will have the capability to </w:t>
            </w:r>
            <w:r w:rsidRPr="00F43B85">
              <w:rPr>
                <w:rFonts w:asciiTheme="minorHAnsi" w:hAnsiTheme="minorHAnsi"/>
                <w:b/>
                <w:color w:val="005C72" w:themeColor="accent5" w:themeShade="80"/>
                <w:sz w:val="17"/>
                <w:szCs w:val="17"/>
                <w:lang w:val="en-CA" w:eastAsia="en-CA"/>
              </w:rPr>
              <w:t>search provider persons</w:t>
            </w:r>
            <w:r w:rsidRPr="003F5431">
              <w:rPr>
                <w:lang w:val="en-CA" w:eastAsia="en-CA"/>
              </w:rPr>
              <w:t xml:space="preserve"> by name, profession, license, alternate identifiers, UPI, etc., and to receive accurate, up-to-date provider person</w:t>
            </w:r>
            <w:r w:rsidR="0021508F">
              <w:rPr>
                <w:lang w:val="en-CA" w:eastAsia="en-CA"/>
              </w:rPr>
              <w:t>-</w:t>
            </w:r>
            <w:r w:rsidRPr="003F5431">
              <w:rPr>
                <w:lang w:val="en-CA" w:eastAsia="en-CA"/>
              </w:rPr>
              <w:t>profile information generated from multiple authorized information sources</w:t>
            </w:r>
            <w:r>
              <w:t>.</w:t>
            </w:r>
          </w:p>
        </w:tc>
        <w:tc>
          <w:tcPr>
            <w:tcW w:w="2340" w:type="dxa"/>
            <w:tcBorders>
              <w:left w:val="nil"/>
              <w:bottom w:val="nil"/>
              <w:right w:val="nil"/>
            </w:tcBorders>
            <w:shd w:val="clear" w:color="auto" w:fill="F8F8F8"/>
            <w:vAlign w:val="bottom"/>
          </w:tcPr>
          <w:p w14:paraId="672291FA" w14:textId="16999822" w:rsidR="00BC5CBA" w:rsidRPr="00BC5CBA" w:rsidRDefault="00BC5CBA" w:rsidP="228950F6">
            <w:pPr>
              <w:pStyle w:val="TableText"/>
              <w:ind w:right="60"/>
              <w:rPr>
                <w:b/>
                <w:bCs/>
                <w:sz w:val="20"/>
                <w:szCs w:val="20"/>
                <w:lang w:val="en-CA" w:eastAsia="en-CA"/>
              </w:rPr>
            </w:pPr>
            <w:r>
              <w:rPr>
                <w:noProof/>
              </w:rPr>
              <w:drawing>
                <wp:inline distT="0" distB="0" distL="0" distR="0" wp14:anchorId="62F031CC" wp14:editId="78B7AF8B">
                  <wp:extent cx="394970" cy="333375"/>
                  <wp:effectExtent l="0" t="0" r="5080" b="952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a:extLst>
                              <a:ext uri="{28A0092B-C50C-407E-A947-70E740481C1C}">
                                <a14:useLocalDpi xmlns:a14="http://schemas.microsoft.com/office/drawing/2010/main" val="0"/>
                              </a:ext>
                            </a:extLst>
                          </a:blip>
                          <a:srcRect r="-1138"/>
                          <a:stretch>
                            <a:fillRect/>
                          </a:stretch>
                        </pic:blipFill>
                        <pic:spPr>
                          <a:xfrm>
                            <a:off x="0" y="0"/>
                            <a:ext cx="394970" cy="333375"/>
                          </a:xfrm>
                          <a:prstGeom prst="rect">
                            <a:avLst/>
                          </a:prstGeom>
                        </pic:spPr>
                      </pic:pic>
                    </a:graphicData>
                  </a:graphic>
                </wp:inline>
              </w:drawing>
            </w:r>
          </w:p>
        </w:tc>
      </w:tr>
      <w:tr w:rsidR="00BC5CBA" w14:paraId="7748EC4F" w14:textId="77777777" w:rsidTr="228950F6">
        <w:tc>
          <w:tcPr>
            <w:tcW w:w="9360" w:type="dxa"/>
            <w:gridSpan w:val="2"/>
            <w:tcBorders>
              <w:top w:val="nil"/>
              <w:left w:val="nil"/>
              <w:right w:val="nil"/>
            </w:tcBorders>
            <w:shd w:val="clear" w:color="auto" w:fill="F8F8F8"/>
            <w:tcMar>
              <w:top w:w="29" w:type="dxa"/>
              <w:left w:w="115" w:type="dxa"/>
              <w:bottom w:w="58" w:type="dxa"/>
              <w:right w:w="115" w:type="dxa"/>
            </w:tcMar>
          </w:tcPr>
          <w:p w14:paraId="258564CC" w14:textId="739D25F5" w:rsidR="00BC5CBA" w:rsidRPr="003F5431" w:rsidRDefault="00BC5CBA" w:rsidP="006C5941">
            <w:pPr>
              <w:pStyle w:val="TableText"/>
              <w:spacing w:before="0"/>
              <w:ind w:right="58"/>
              <w:rPr>
                <w:lang w:val="en-CA" w:eastAsia="en-CA"/>
              </w:rPr>
            </w:pPr>
            <w:r w:rsidRPr="003F5431">
              <w:rPr>
                <w:lang w:val="en-CA" w:eastAsia="en-CA"/>
              </w:rPr>
              <w:t>The POS solution will also have the capability to search provider organizations by name, role (e.g. pharmacy, hospital, clinic, etc.), LHIN, alternate identifiers, UPI, etc., and to receive accurate, up-to-date provider organization profile information generated from multiple authorized information sources.</w:t>
            </w:r>
          </w:p>
          <w:p w14:paraId="6316A871" w14:textId="4448BD4E" w:rsidR="00BC5CBA" w:rsidRDefault="00BC5CBA" w:rsidP="006C5941">
            <w:pPr>
              <w:pStyle w:val="TableText"/>
              <w:ind w:right="60"/>
              <w:rPr>
                <w:b/>
                <w:sz w:val="20"/>
                <w:szCs w:val="20"/>
                <w:lang w:val="en-CA" w:eastAsia="en-CA"/>
              </w:rPr>
            </w:pPr>
            <w:r w:rsidRPr="003F5431">
              <w:rPr>
                <w:lang w:val="en-CA" w:eastAsia="en-CA"/>
              </w:rPr>
              <w:t>This integration can occur through conformance to the following specification:</w:t>
            </w:r>
            <w:r>
              <w:rPr>
                <w:lang w:val="en-CA" w:eastAsia="en-CA"/>
              </w:rPr>
              <w:t xml:space="preserve"> </w:t>
            </w:r>
            <w:hyperlink r:id="rId24" w:history="1">
              <w:r>
                <w:rPr>
                  <w:rStyle w:val="Hyperlink"/>
                  <w:lang w:val="en-CA" w:eastAsia="en-CA"/>
                </w:rPr>
                <w:t>Provincial Provider Registry – FHIR</w:t>
              </w:r>
            </w:hyperlink>
            <w:r w:rsidR="00F43B85">
              <w:rPr>
                <w:rStyle w:val="Hyperlink"/>
                <w:lang w:val="en-CA" w:eastAsia="en-CA"/>
              </w:rPr>
              <w:t>.</w:t>
            </w:r>
          </w:p>
        </w:tc>
      </w:tr>
      <w:tr w:rsidR="00BC5CBA" w14:paraId="2C856564" w14:textId="76116A0E" w:rsidTr="228950F6">
        <w:tc>
          <w:tcPr>
            <w:tcW w:w="9360" w:type="dxa"/>
            <w:gridSpan w:val="2"/>
            <w:tcBorders>
              <w:left w:val="nil"/>
              <w:right w:val="nil"/>
            </w:tcBorders>
            <w:tcMar>
              <w:top w:w="58" w:type="dxa"/>
              <w:left w:w="115" w:type="dxa"/>
              <w:bottom w:w="58" w:type="dxa"/>
              <w:right w:w="115" w:type="dxa"/>
            </w:tcMar>
          </w:tcPr>
          <w:p w14:paraId="75243252" w14:textId="4FA6C99F" w:rsidR="00BC5CBA" w:rsidRPr="00BC5CBA" w:rsidRDefault="00BC5CBA" w:rsidP="00BC5CBA">
            <w:pPr>
              <w:pStyle w:val="TableText"/>
              <w:ind w:right="60"/>
              <w:rPr>
                <w:sz w:val="20"/>
                <w:szCs w:val="20"/>
                <w:lang w:val="en-CA" w:eastAsia="en-CA"/>
              </w:rPr>
            </w:pPr>
            <w:r w:rsidRPr="00BC5CBA">
              <w:rPr>
                <w:b/>
                <w:bCs/>
                <w:sz w:val="20"/>
                <w:szCs w:val="20"/>
                <w:lang w:val="en-CA" w:eastAsia="en-CA"/>
              </w:rPr>
              <w:t>E</w:t>
            </w:r>
            <w:r w:rsidR="00B051A5">
              <w:rPr>
                <w:b/>
                <w:bCs/>
                <w:sz w:val="20"/>
                <w:szCs w:val="20"/>
                <w:lang w:val="en-CA" w:eastAsia="en-CA"/>
              </w:rPr>
              <w:t xml:space="preserve">xpected Response </w:t>
            </w:r>
            <w:r w:rsidR="00AB125A">
              <w:rPr>
                <w:b/>
                <w:bCs/>
                <w:sz w:val="20"/>
                <w:szCs w:val="20"/>
                <w:lang w:val="en-CA" w:eastAsia="en-CA"/>
              </w:rPr>
              <w:t>f</w:t>
            </w:r>
            <w:r w:rsidRPr="00BC5CBA">
              <w:rPr>
                <w:b/>
                <w:bCs/>
                <w:sz w:val="20"/>
                <w:szCs w:val="20"/>
                <w:lang w:val="en-CA" w:eastAsia="en-CA"/>
              </w:rPr>
              <w:t>rom Vendor</w:t>
            </w:r>
          </w:p>
          <w:p w14:paraId="151E9380" w14:textId="6A108524" w:rsidR="00BC5CBA" w:rsidRPr="00BC5CBA" w:rsidRDefault="00BC5CBA" w:rsidP="00410D4F">
            <w:pPr>
              <w:pStyle w:val="TableText"/>
              <w:ind w:right="60"/>
              <w:rPr>
                <w:b/>
                <w:bCs/>
                <w:sz w:val="20"/>
                <w:szCs w:val="20"/>
                <w:lang w:val="en-CA" w:eastAsia="en-CA"/>
              </w:rPr>
            </w:pPr>
            <w:r w:rsidRPr="00DE5131">
              <w:rPr>
                <w:lang w:val="en-CA" w:eastAsia="en-CA"/>
              </w:rPr>
              <w:t>Preference will be given to responses that demonstrate previous experience integrating with external provider registries in other jurisdictions. Experience with the listed specifications, and with leveraging common provider identifiers amongst other integrated systems, is preferred.</w:t>
            </w:r>
          </w:p>
        </w:tc>
      </w:tr>
      <w:tr w:rsidR="00BC5CBA" w14:paraId="38BE891F" w14:textId="365BE8D9" w:rsidTr="228950F6">
        <w:trPr>
          <w:trHeight w:val="5134"/>
        </w:trPr>
        <w:tc>
          <w:tcPr>
            <w:tcW w:w="9360" w:type="dxa"/>
            <w:gridSpan w:val="2"/>
            <w:tcBorders>
              <w:left w:val="nil"/>
              <w:right w:val="nil"/>
            </w:tcBorders>
            <w:shd w:val="clear" w:color="auto" w:fill="F8F8F8"/>
            <w:tcMar>
              <w:top w:w="58" w:type="dxa"/>
              <w:left w:w="115" w:type="dxa"/>
              <w:bottom w:w="58" w:type="dxa"/>
              <w:right w:w="115" w:type="dxa"/>
            </w:tcMar>
          </w:tcPr>
          <w:p w14:paraId="2739137C" w14:textId="77777777" w:rsidR="00BC5CBA" w:rsidRPr="00BC5CBA" w:rsidRDefault="00BC5CBA" w:rsidP="00BC5CBA">
            <w:pPr>
              <w:pStyle w:val="TableText"/>
              <w:ind w:right="60"/>
              <w:rPr>
                <w:sz w:val="20"/>
                <w:szCs w:val="20"/>
                <w:lang w:val="en-CA" w:eastAsia="en-CA"/>
              </w:rPr>
            </w:pPr>
            <w:r w:rsidRPr="00BC5CBA">
              <w:rPr>
                <w:b/>
                <w:bCs/>
                <w:sz w:val="20"/>
                <w:szCs w:val="20"/>
                <w:lang w:val="en-CA" w:eastAsia="en-CA"/>
              </w:rPr>
              <w:t>Rationale</w:t>
            </w:r>
          </w:p>
          <w:p w14:paraId="53AD330B" w14:textId="443E19EA" w:rsidR="00BC5CBA" w:rsidRPr="00DE5131" w:rsidRDefault="00BC5CBA" w:rsidP="00BC5CBA">
            <w:pPr>
              <w:pStyle w:val="TableText"/>
              <w:ind w:right="60"/>
              <w:rPr>
                <w:lang w:val="en-CA" w:eastAsia="en-CA"/>
              </w:rPr>
            </w:pPr>
            <w:r w:rsidRPr="00DE5131">
              <w:rPr>
                <w:lang w:val="en-CA" w:eastAsia="en-CA"/>
              </w:rPr>
              <w:t xml:space="preserve">The </w:t>
            </w:r>
            <w:r w:rsidR="00880716">
              <w:rPr>
                <w:lang w:val="en-CA" w:eastAsia="en-CA"/>
              </w:rPr>
              <w:t>P</w:t>
            </w:r>
            <w:r w:rsidRPr="00DE5131">
              <w:rPr>
                <w:lang w:val="en-CA" w:eastAsia="en-CA"/>
              </w:rPr>
              <w:t xml:space="preserve">rovider </w:t>
            </w:r>
            <w:r w:rsidR="00880716">
              <w:rPr>
                <w:lang w:val="en-CA" w:eastAsia="en-CA"/>
              </w:rPr>
              <w:t>R</w:t>
            </w:r>
            <w:r w:rsidRPr="00DE5131">
              <w:rPr>
                <w:lang w:val="en-CA" w:eastAsia="en-CA"/>
              </w:rPr>
              <w:t>egistry is the authoritative source of information about providers and health</w:t>
            </w:r>
            <w:r w:rsidR="002836CF">
              <w:rPr>
                <w:lang w:val="en-CA" w:eastAsia="en-CA"/>
              </w:rPr>
              <w:t xml:space="preserve"> </w:t>
            </w:r>
            <w:r w:rsidRPr="00DE5131">
              <w:rPr>
                <w:lang w:val="en-CA" w:eastAsia="en-CA"/>
              </w:rPr>
              <w:t>care service delivery locations for use by EHR solutions. It facilitates the unique and accurate identification of any individual or organization providing health services in Ontario, or participating in the collection, use or disclosure of PHI across the continuum of care.</w:t>
            </w:r>
          </w:p>
          <w:p w14:paraId="368C1346" w14:textId="52DC249C" w:rsidR="00BC5CBA" w:rsidRPr="00DE5131" w:rsidRDefault="00BC5CBA" w:rsidP="00BC5CBA">
            <w:pPr>
              <w:pStyle w:val="TableText"/>
              <w:ind w:right="60"/>
              <w:rPr>
                <w:lang w:val="en-CA" w:eastAsia="en-CA"/>
              </w:rPr>
            </w:pPr>
            <w:r w:rsidRPr="00DE5131">
              <w:rPr>
                <w:lang w:val="en-CA" w:eastAsia="en-CA"/>
              </w:rPr>
              <w:t xml:space="preserve">The registry assigns a unique provincial identifier to each provider, and maintains information about them, including professional accreditations (e.g. licenses, professions, specialties). It is fed by regulatory colleges, Ministry of Health databases, hospitals and other organizations. The </w:t>
            </w:r>
            <w:r w:rsidR="00880716">
              <w:rPr>
                <w:lang w:val="en-CA" w:eastAsia="en-CA"/>
              </w:rPr>
              <w:t>P</w:t>
            </w:r>
            <w:r w:rsidRPr="00DE5131">
              <w:rPr>
                <w:lang w:val="en-CA" w:eastAsia="en-CA"/>
              </w:rPr>
              <w:t xml:space="preserve">rovider </w:t>
            </w:r>
            <w:r w:rsidR="00880716">
              <w:rPr>
                <w:lang w:val="en-CA" w:eastAsia="en-CA"/>
              </w:rPr>
              <w:t>R</w:t>
            </w:r>
            <w:r w:rsidRPr="00DE5131">
              <w:rPr>
                <w:lang w:val="en-CA" w:eastAsia="en-CA"/>
              </w:rPr>
              <w:t>egistry:</w:t>
            </w:r>
          </w:p>
          <w:p w14:paraId="36CC3BF2" w14:textId="77777777" w:rsidR="00BC5CBA" w:rsidRPr="00DE5131" w:rsidRDefault="00BC5CBA" w:rsidP="00274867">
            <w:pPr>
              <w:pStyle w:val="TableText"/>
              <w:numPr>
                <w:ilvl w:val="0"/>
                <w:numId w:val="30"/>
              </w:numPr>
              <w:ind w:left="545" w:right="60" w:hanging="185"/>
              <w:rPr>
                <w:lang w:val="en-CA" w:eastAsia="en-CA"/>
              </w:rPr>
            </w:pPr>
            <w:r w:rsidRPr="00DE5131">
              <w:rPr>
                <w:lang w:val="en-CA" w:eastAsia="en-CA"/>
              </w:rPr>
              <w:t>Positively identifies providers</w:t>
            </w:r>
            <w:r>
              <w:rPr>
                <w:lang w:val="en-CA" w:eastAsia="en-CA"/>
              </w:rPr>
              <w:t>;</w:t>
            </w:r>
          </w:p>
          <w:p w14:paraId="542492BF" w14:textId="6AC1709D" w:rsidR="00BC5CBA" w:rsidRPr="00DE5131" w:rsidRDefault="00BC5CBA" w:rsidP="00274867">
            <w:pPr>
              <w:pStyle w:val="TableText"/>
              <w:numPr>
                <w:ilvl w:val="0"/>
                <w:numId w:val="30"/>
              </w:numPr>
              <w:ind w:left="545" w:right="60" w:hanging="185"/>
              <w:rPr>
                <w:lang w:val="en-CA" w:eastAsia="en-CA"/>
              </w:rPr>
            </w:pPr>
            <w:r w:rsidRPr="00DE5131">
              <w:rPr>
                <w:lang w:val="en-CA" w:eastAsia="en-CA"/>
              </w:rPr>
              <w:t>Provides information on providers, including credentials, status, documented restrictions of activity, work locations and relevant health</w:t>
            </w:r>
            <w:r w:rsidR="00876A34">
              <w:rPr>
                <w:lang w:val="en-CA" w:eastAsia="en-CA"/>
              </w:rPr>
              <w:t xml:space="preserve"> </w:t>
            </w:r>
            <w:r w:rsidRPr="00DE5131">
              <w:rPr>
                <w:lang w:val="en-CA" w:eastAsia="en-CA"/>
              </w:rPr>
              <w:t>care organization affiliations and local privileges</w:t>
            </w:r>
            <w:r>
              <w:rPr>
                <w:lang w:val="en-CA" w:eastAsia="en-CA"/>
              </w:rPr>
              <w:t>;</w:t>
            </w:r>
          </w:p>
          <w:p w14:paraId="1A1E8F71" w14:textId="2ED2FF61" w:rsidR="00BC5CBA" w:rsidRPr="00DE5131" w:rsidRDefault="00BC5CBA" w:rsidP="00274867">
            <w:pPr>
              <w:pStyle w:val="TableText"/>
              <w:numPr>
                <w:ilvl w:val="0"/>
                <w:numId w:val="30"/>
              </w:numPr>
              <w:ind w:left="545" w:right="60" w:hanging="185"/>
              <w:rPr>
                <w:lang w:val="en-CA" w:eastAsia="en-CA"/>
              </w:rPr>
            </w:pPr>
            <w:r w:rsidRPr="00DE5131">
              <w:rPr>
                <w:lang w:val="en-CA" w:eastAsia="en-CA"/>
              </w:rPr>
              <w:t xml:space="preserve">Provides information on providers to enforce </w:t>
            </w:r>
            <w:r w:rsidR="00257E67">
              <w:rPr>
                <w:lang w:val="en-CA" w:eastAsia="en-CA"/>
              </w:rPr>
              <w:t>province</w:t>
            </w:r>
            <w:r w:rsidR="008157A2">
              <w:rPr>
                <w:lang w:val="en-CA" w:eastAsia="en-CA"/>
              </w:rPr>
              <w:t>-</w:t>
            </w:r>
            <w:r w:rsidR="00257E67">
              <w:rPr>
                <w:lang w:val="en-CA" w:eastAsia="en-CA"/>
              </w:rPr>
              <w:t xml:space="preserve">wide </w:t>
            </w:r>
            <w:r w:rsidRPr="00DE5131">
              <w:rPr>
                <w:lang w:val="en-CA" w:eastAsia="en-CA"/>
              </w:rPr>
              <w:t>consent directives</w:t>
            </w:r>
            <w:r>
              <w:rPr>
                <w:lang w:val="en-CA" w:eastAsia="en-CA"/>
              </w:rPr>
              <w:t>.</w:t>
            </w:r>
          </w:p>
          <w:p w14:paraId="2171A4AA" w14:textId="77777777" w:rsidR="00BC5CBA" w:rsidRPr="00DE5131" w:rsidRDefault="00BC5CBA" w:rsidP="00BC5CBA">
            <w:pPr>
              <w:pStyle w:val="TableText"/>
              <w:spacing w:before="80"/>
              <w:ind w:right="60"/>
              <w:rPr>
                <w:lang w:val="en-CA" w:eastAsia="en-CA"/>
              </w:rPr>
            </w:pPr>
            <w:r w:rsidRPr="00DE5131">
              <w:rPr>
                <w:lang w:val="en-CA" w:eastAsia="en-CA"/>
              </w:rPr>
              <w:t>Examples of services provided by the registry include:</w:t>
            </w:r>
          </w:p>
          <w:p w14:paraId="1FC6D398" w14:textId="77777777" w:rsidR="00BC5CBA" w:rsidRPr="00DE5131" w:rsidRDefault="00BC5CBA" w:rsidP="00274867">
            <w:pPr>
              <w:pStyle w:val="TableText"/>
              <w:numPr>
                <w:ilvl w:val="0"/>
                <w:numId w:val="30"/>
              </w:numPr>
              <w:ind w:left="545" w:right="60" w:hanging="185"/>
              <w:rPr>
                <w:lang w:val="en-CA" w:eastAsia="en-CA"/>
              </w:rPr>
            </w:pPr>
            <w:r w:rsidRPr="00DE5131">
              <w:rPr>
                <w:lang w:val="en-CA" w:eastAsia="en-CA"/>
              </w:rPr>
              <w:t>Searching and resolving a provider’s identity</w:t>
            </w:r>
            <w:r>
              <w:rPr>
                <w:lang w:val="en-CA" w:eastAsia="en-CA"/>
              </w:rPr>
              <w:t>;</w:t>
            </w:r>
          </w:p>
          <w:p w14:paraId="29B02CC9" w14:textId="77777777" w:rsidR="00BC5CBA" w:rsidRPr="00DE5131" w:rsidRDefault="00BC5CBA" w:rsidP="00274867">
            <w:pPr>
              <w:pStyle w:val="TableText"/>
              <w:numPr>
                <w:ilvl w:val="0"/>
                <w:numId w:val="30"/>
              </w:numPr>
              <w:ind w:left="545" w:right="60" w:hanging="185"/>
              <w:rPr>
                <w:lang w:val="en-CA" w:eastAsia="en-CA"/>
              </w:rPr>
            </w:pPr>
            <w:r w:rsidRPr="00DE5131">
              <w:rPr>
                <w:lang w:val="en-CA" w:eastAsia="en-CA"/>
              </w:rPr>
              <w:t>Searching and getting provider organization data and locations</w:t>
            </w:r>
            <w:r>
              <w:rPr>
                <w:lang w:val="en-CA" w:eastAsia="en-CA"/>
              </w:rPr>
              <w:t>;</w:t>
            </w:r>
          </w:p>
          <w:p w14:paraId="66B2E832" w14:textId="74188D49" w:rsidR="00BC5CBA" w:rsidRPr="00DE5131" w:rsidRDefault="00BC5CBA" w:rsidP="00274867">
            <w:pPr>
              <w:pStyle w:val="TableText"/>
              <w:numPr>
                <w:ilvl w:val="0"/>
                <w:numId w:val="30"/>
              </w:numPr>
              <w:ind w:left="545" w:right="60" w:hanging="185"/>
              <w:rPr>
                <w:lang w:val="en-CA" w:eastAsia="en-CA"/>
              </w:rPr>
            </w:pPr>
            <w:r w:rsidRPr="00DE5131">
              <w:rPr>
                <w:lang w:val="en-CA" w:eastAsia="en-CA"/>
              </w:rPr>
              <w:t>Obtaining provider information (e.g. current status of professional accreditations)</w:t>
            </w:r>
            <w:r>
              <w:rPr>
                <w:lang w:val="en-CA" w:eastAsia="en-CA"/>
              </w:rPr>
              <w:t>.</w:t>
            </w:r>
          </w:p>
          <w:p w14:paraId="7882A372" w14:textId="279523B6" w:rsidR="00BC5CBA" w:rsidRPr="00DE5131" w:rsidRDefault="00BC5CBA" w:rsidP="00F43B85">
            <w:pPr>
              <w:pStyle w:val="TableText"/>
              <w:spacing w:before="100"/>
              <w:ind w:right="58"/>
              <w:rPr>
                <w:lang w:val="en-CA" w:eastAsia="en-CA"/>
              </w:rPr>
            </w:pPr>
            <w:r w:rsidRPr="00DE5131">
              <w:rPr>
                <w:lang w:val="en-CA" w:eastAsia="en-CA"/>
              </w:rPr>
              <w:t xml:space="preserve">A common </w:t>
            </w:r>
            <w:r w:rsidR="00880716">
              <w:rPr>
                <w:lang w:val="en-CA" w:eastAsia="en-CA"/>
              </w:rPr>
              <w:t>P</w:t>
            </w:r>
            <w:r w:rsidRPr="00DE5131">
              <w:rPr>
                <w:lang w:val="en-CA" w:eastAsia="en-CA"/>
              </w:rPr>
              <w:t xml:space="preserve">rovider </w:t>
            </w:r>
            <w:r w:rsidR="00880716">
              <w:rPr>
                <w:lang w:val="en-CA" w:eastAsia="en-CA"/>
              </w:rPr>
              <w:t>R</w:t>
            </w:r>
            <w:r w:rsidRPr="00DE5131">
              <w:rPr>
                <w:lang w:val="en-CA" w:eastAsia="en-CA"/>
              </w:rPr>
              <w:t>egistry is necessary for consistent, province-wide enforcement of patient consent directives and ehealth service authorization. POS solution access to this information improves the quality of provider information residing in the POS.</w:t>
            </w:r>
          </w:p>
          <w:p w14:paraId="0BC2EFB6" w14:textId="77777777" w:rsidR="001548CD" w:rsidRDefault="00BC5CBA" w:rsidP="001548CD">
            <w:pPr>
              <w:pStyle w:val="TableText"/>
              <w:ind w:right="60"/>
              <w:rPr>
                <w:i/>
                <w:iCs/>
                <w:lang w:val="en-CA" w:eastAsia="en-CA"/>
              </w:rPr>
            </w:pPr>
            <w:r w:rsidRPr="00A13BE9">
              <w:rPr>
                <w:b/>
                <w:bCs/>
                <w:i/>
                <w:iCs/>
                <w:lang w:val="en-CA" w:eastAsia="en-CA"/>
              </w:rPr>
              <w:t>Note:</w:t>
            </w:r>
            <w:r w:rsidRPr="00A13BE9">
              <w:rPr>
                <w:i/>
                <w:iCs/>
                <w:lang w:val="en-CA" w:eastAsia="en-CA"/>
              </w:rPr>
              <w:t xml:space="preserve"> While a Provincial Provider Registry exists today, providing information on over 400,000 providers throughout Ontario, the ability to accept provider feeds from hospitals is forthcoming. Contact </w:t>
            </w:r>
            <w:r w:rsidR="00684A33">
              <w:rPr>
                <w:i/>
                <w:iCs/>
                <w:lang w:val="en-CA" w:eastAsia="en-CA"/>
              </w:rPr>
              <w:t xml:space="preserve">Ontario Health </w:t>
            </w:r>
            <w:r w:rsidRPr="00A13BE9">
              <w:rPr>
                <w:i/>
                <w:iCs/>
                <w:lang w:val="en-CA" w:eastAsia="en-CA"/>
              </w:rPr>
              <w:t xml:space="preserve">at </w:t>
            </w:r>
          </w:p>
          <w:p w14:paraId="7F00ADF0" w14:textId="1A70996B" w:rsidR="00BC5CBA" w:rsidRPr="001548CD" w:rsidRDefault="00D92A6E" w:rsidP="001548CD">
            <w:pPr>
              <w:pStyle w:val="TableText"/>
              <w:ind w:right="60"/>
              <w:rPr>
                <w:i/>
                <w:iCs/>
                <w:lang w:val="en-CA" w:eastAsia="en-CA"/>
              </w:rPr>
            </w:pPr>
            <w:hyperlink r:id="rId25" w:history="1">
              <w:r w:rsidR="001548CD" w:rsidRPr="002702CA">
                <w:rPr>
                  <w:rStyle w:val="Hyperlink"/>
                  <w:i/>
                  <w:iCs/>
                  <w:lang w:val="en-CA" w:eastAsia="en-CA"/>
                </w:rPr>
                <w:t>oh-ds_architecture@ontariohealth.ca</w:t>
              </w:r>
            </w:hyperlink>
            <w:r w:rsidR="001548CD">
              <w:rPr>
                <w:i/>
                <w:iCs/>
                <w:lang w:val="en-CA" w:eastAsia="en-CA"/>
              </w:rPr>
              <w:t xml:space="preserve"> </w:t>
            </w:r>
            <w:r w:rsidR="00BC5CBA" w:rsidRPr="00A13BE9">
              <w:rPr>
                <w:i/>
                <w:iCs/>
                <w:lang w:val="en-CA" w:eastAsia="en-CA"/>
              </w:rPr>
              <w:t>to enquire about the status of these specifications.</w:t>
            </w:r>
          </w:p>
        </w:tc>
      </w:tr>
    </w:tbl>
    <w:p w14:paraId="7AA8183B" w14:textId="5253CC5A" w:rsidR="006E3BE0" w:rsidRDefault="006E3BE0" w:rsidP="00325153">
      <w:pPr>
        <w:pStyle w:val="Heading2"/>
        <w:pageBreakBefore/>
        <w:spacing w:after="240"/>
      </w:pPr>
      <w:bookmarkStart w:id="23" w:name="_Ref40878842"/>
      <w:bookmarkStart w:id="24" w:name="_Toc54610991"/>
      <w:r>
        <w:t>Provincial Client Registry (PCR)</w:t>
      </w:r>
      <w:bookmarkEnd w:id="23"/>
      <w:bookmarkEnd w:id="24"/>
    </w:p>
    <w:tbl>
      <w:tblPr>
        <w:tblStyle w:val="TableGrid"/>
        <w:tblW w:w="0" w:type="auto"/>
        <w:tblLook w:val="04A0" w:firstRow="1" w:lastRow="0" w:firstColumn="1" w:lastColumn="0" w:noHBand="0" w:noVBand="1"/>
      </w:tblPr>
      <w:tblGrid>
        <w:gridCol w:w="7020"/>
        <w:gridCol w:w="2340"/>
      </w:tblGrid>
      <w:tr w:rsidR="00A05031" w:rsidRPr="00D837DC" w14:paraId="0AB1EBC3" w14:textId="77777777" w:rsidTr="228950F6">
        <w:tc>
          <w:tcPr>
            <w:tcW w:w="7020" w:type="dxa"/>
            <w:vMerge w:val="restart"/>
            <w:tcBorders>
              <w:top w:val="single" w:sz="4" w:space="0" w:color="auto"/>
              <w:left w:val="nil"/>
              <w:bottom w:val="nil"/>
              <w:right w:val="nil"/>
            </w:tcBorders>
            <w:shd w:val="clear" w:color="auto" w:fill="F8F8F8"/>
            <w:tcMar>
              <w:top w:w="58" w:type="dxa"/>
              <w:left w:w="115" w:type="dxa"/>
              <w:bottom w:w="58" w:type="dxa"/>
              <w:right w:w="115" w:type="dxa"/>
            </w:tcMar>
          </w:tcPr>
          <w:p w14:paraId="61E9A7BA" w14:textId="77777777" w:rsidR="00A05031" w:rsidRPr="00803817" w:rsidRDefault="00A05031" w:rsidP="00B91FB6">
            <w:pPr>
              <w:pStyle w:val="TableText"/>
              <w:rPr>
                <w:b/>
                <w:sz w:val="20"/>
                <w:szCs w:val="20"/>
                <w:lang w:val="en-CA" w:eastAsia="en-CA"/>
              </w:rPr>
            </w:pPr>
            <w:r>
              <w:rPr>
                <w:b/>
                <w:sz w:val="20"/>
                <w:szCs w:val="20"/>
                <w:lang w:val="en-CA" w:eastAsia="en-CA"/>
              </w:rPr>
              <w:t>Description</w:t>
            </w:r>
          </w:p>
          <w:p w14:paraId="55718789" w14:textId="65E71E0A" w:rsidR="00A05031" w:rsidRPr="00803817" w:rsidRDefault="00A05031" w:rsidP="002A1AE9">
            <w:pPr>
              <w:pStyle w:val="TableText"/>
              <w:rPr>
                <w:b/>
                <w:sz w:val="20"/>
                <w:szCs w:val="20"/>
                <w:lang w:val="en-CA" w:eastAsia="en-CA"/>
              </w:rPr>
            </w:pPr>
            <w:r w:rsidRPr="00377146">
              <w:rPr>
                <w:lang w:val="en-CA" w:eastAsia="en-CA"/>
              </w:rPr>
              <w:t>The POS solution will feed local health</w:t>
            </w:r>
            <w:r w:rsidR="009F602C">
              <w:rPr>
                <w:lang w:val="en-CA" w:eastAsia="en-CA"/>
              </w:rPr>
              <w:t xml:space="preserve"> </w:t>
            </w:r>
            <w:r w:rsidRPr="00377146">
              <w:rPr>
                <w:lang w:val="en-CA" w:eastAsia="en-CA"/>
              </w:rPr>
              <w:t xml:space="preserve">care client identification information to the </w:t>
            </w:r>
            <w:r>
              <w:rPr>
                <w:lang w:val="en-CA" w:eastAsia="en-CA"/>
              </w:rPr>
              <w:t>P</w:t>
            </w:r>
            <w:r w:rsidRPr="00377146">
              <w:rPr>
                <w:lang w:val="en-CA" w:eastAsia="en-CA"/>
              </w:rPr>
              <w:t xml:space="preserve">rovincial </w:t>
            </w:r>
            <w:r>
              <w:rPr>
                <w:lang w:val="en-CA" w:eastAsia="en-CA"/>
              </w:rPr>
              <w:t>C</w:t>
            </w:r>
            <w:r w:rsidRPr="00377146">
              <w:rPr>
                <w:lang w:val="en-CA" w:eastAsia="en-CA"/>
              </w:rPr>
              <w:t xml:space="preserve">lient </w:t>
            </w:r>
            <w:r>
              <w:rPr>
                <w:lang w:val="en-CA" w:eastAsia="en-CA"/>
              </w:rPr>
              <w:t>R</w:t>
            </w:r>
            <w:r w:rsidRPr="00377146">
              <w:rPr>
                <w:lang w:val="en-CA" w:eastAsia="en-CA"/>
              </w:rPr>
              <w:t xml:space="preserve">egistry (data out) and integrate with the </w:t>
            </w:r>
            <w:r>
              <w:rPr>
                <w:lang w:val="en-CA" w:eastAsia="en-CA"/>
              </w:rPr>
              <w:t>P</w:t>
            </w:r>
            <w:r w:rsidRPr="00377146">
              <w:rPr>
                <w:lang w:val="en-CA" w:eastAsia="en-CA"/>
              </w:rPr>
              <w:t xml:space="preserve">rovincial </w:t>
            </w:r>
            <w:r>
              <w:rPr>
                <w:lang w:val="en-CA" w:eastAsia="en-CA"/>
              </w:rPr>
              <w:t>C</w:t>
            </w:r>
            <w:r w:rsidRPr="00377146">
              <w:rPr>
                <w:lang w:val="en-CA" w:eastAsia="en-CA"/>
              </w:rPr>
              <w:t xml:space="preserve">lient </w:t>
            </w:r>
            <w:r>
              <w:rPr>
                <w:lang w:val="en-CA" w:eastAsia="en-CA"/>
              </w:rPr>
              <w:t>R</w:t>
            </w:r>
            <w:r w:rsidRPr="00377146">
              <w:rPr>
                <w:lang w:val="en-CA" w:eastAsia="en-CA"/>
              </w:rPr>
              <w:t>egistry to maintain the</w:t>
            </w:r>
            <w:r>
              <w:rPr>
                <w:lang w:val="en-CA" w:eastAsia="en-CA"/>
              </w:rPr>
              <w:t xml:space="preserve"> </w:t>
            </w:r>
            <w:r w:rsidRPr="00377146">
              <w:rPr>
                <w:lang w:val="en-CA" w:eastAsia="en-CA"/>
              </w:rPr>
              <w:t xml:space="preserve">accuracy of the POS’ client information (data in). For details, see </w:t>
            </w:r>
            <w:r w:rsidR="002A1AE9">
              <w:rPr>
                <w:lang w:val="en-CA" w:eastAsia="en-CA"/>
              </w:rPr>
              <w:t>Ontario Health</w:t>
            </w:r>
            <w:r w:rsidR="004B1976">
              <w:rPr>
                <w:lang w:val="en-CA" w:eastAsia="en-CA"/>
              </w:rPr>
              <w:t>’s</w:t>
            </w:r>
            <w:r w:rsidR="002A1AE9">
              <w:rPr>
                <w:lang w:val="en-CA" w:eastAsia="en-CA"/>
              </w:rPr>
              <w:t xml:space="preserve"> </w:t>
            </w:r>
            <w:hyperlink r:id="rId26" w:history="1">
              <w:r>
                <w:rPr>
                  <w:rStyle w:val="Hyperlink"/>
                  <w:lang w:val="en-CA" w:eastAsia="en-CA"/>
                </w:rPr>
                <w:t>P</w:t>
              </w:r>
              <w:r w:rsidRPr="00377146">
                <w:rPr>
                  <w:rStyle w:val="Hyperlink"/>
                  <w:lang w:val="en-CA" w:eastAsia="en-CA"/>
                </w:rPr>
                <w:t xml:space="preserve">rovincial </w:t>
              </w:r>
              <w:r>
                <w:rPr>
                  <w:rStyle w:val="Hyperlink"/>
                  <w:lang w:val="en-CA" w:eastAsia="en-CA"/>
                </w:rPr>
                <w:t>C</w:t>
              </w:r>
              <w:r w:rsidRPr="00377146">
                <w:rPr>
                  <w:rStyle w:val="Hyperlink"/>
                  <w:lang w:val="en-CA" w:eastAsia="en-CA"/>
                </w:rPr>
                <w:t xml:space="preserve">lient </w:t>
              </w:r>
              <w:r>
                <w:rPr>
                  <w:rStyle w:val="Hyperlink"/>
                  <w:lang w:val="en-CA" w:eastAsia="en-CA"/>
                </w:rPr>
                <w:t>R</w:t>
              </w:r>
              <w:r w:rsidRPr="00377146">
                <w:rPr>
                  <w:rStyle w:val="Hyperlink"/>
                  <w:lang w:val="en-CA" w:eastAsia="en-CA"/>
                </w:rPr>
                <w:t>egistry standards</w:t>
              </w:r>
            </w:hyperlink>
            <w:r w:rsidRPr="00377146">
              <w:rPr>
                <w:lang w:val="en-CA" w:eastAsia="en-CA"/>
              </w:rPr>
              <w:t>.</w:t>
            </w:r>
          </w:p>
        </w:tc>
        <w:tc>
          <w:tcPr>
            <w:tcW w:w="2340" w:type="dxa"/>
            <w:tcBorders>
              <w:left w:val="nil"/>
              <w:bottom w:val="nil"/>
              <w:right w:val="nil"/>
            </w:tcBorders>
            <w:shd w:val="clear" w:color="auto" w:fill="F8F8F8"/>
          </w:tcPr>
          <w:p w14:paraId="7F696E1B" w14:textId="77777777" w:rsidR="00A05031" w:rsidRDefault="00A05031" w:rsidP="00B91FB6">
            <w:pPr>
              <w:pStyle w:val="TableText"/>
              <w:rPr>
                <w:b/>
                <w:sz w:val="20"/>
                <w:szCs w:val="20"/>
                <w:lang w:val="en-CA" w:eastAsia="en-CA"/>
              </w:rPr>
            </w:pPr>
          </w:p>
        </w:tc>
      </w:tr>
      <w:tr w:rsidR="00A05031" w:rsidRPr="00D837DC" w14:paraId="67158B51" w14:textId="77777777" w:rsidTr="228950F6">
        <w:tc>
          <w:tcPr>
            <w:tcW w:w="7020" w:type="dxa"/>
            <w:vMerge/>
            <w:tcMar>
              <w:top w:w="58" w:type="dxa"/>
              <w:left w:w="115" w:type="dxa"/>
              <w:bottom w:w="58" w:type="dxa"/>
              <w:right w:w="115" w:type="dxa"/>
            </w:tcMar>
          </w:tcPr>
          <w:p w14:paraId="51B26F10" w14:textId="1982B9F1" w:rsidR="00A05031" w:rsidRPr="00803817" w:rsidRDefault="00A05031" w:rsidP="00B91FB6">
            <w:pPr>
              <w:pStyle w:val="TableText"/>
              <w:rPr>
                <w:b/>
                <w:sz w:val="20"/>
                <w:szCs w:val="20"/>
                <w:lang w:val="en-CA" w:eastAsia="en-CA"/>
              </w:rPr>
            </w:pPr>
          </w:p>
        </w:tc>
        <w:tc>
          <w:tcPr>
            <w:tcW w:w="2340" w:type="dxa"/>
            <w:tcBorders>
              <w:top w:val="nil"/>
              <w:left w:val="nil"/>
              <w:bottom w:val="nil"/>
              <w:right w:val="nil"/>
            </w:tcBorders>
            <w:shd w:val="clear" w:color="auto" w:fill="F8F8F8"/>
          </w:tcPr>
          <w:p w14:paraId="455B9FFD" w14:textId="5FCFB560" w:rsidR="00A05031" w:rsidRDefault="00A05031" w:rsidP="228950F6">
            <w:pPr>
              <w:pStyle w:val="TableText"/>
              <w:spacing w:before="0"/>
              <w:rPr>
                <w:b/>
                <w:bCs/>
                <w:sz w:val="20"/>
                <w:szCs w:val="20"/>
                <w:lang w:val="en-CA" w:eastAsia="en-CA"/>
              </w:rPr>
            </w:pPr>
            <w:r>
              <w:rPr>
                <w:noProof/>
              </w:rPr>
              <w:drawing>
                <wp:inline distT="0" distB="0" distL="0" distR="0" wp14:anchorId="3E6E1431" wp14:editId="4FF3F60C">
                  <wp:extent cx="233045" cy="32702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7">
                            <a:extLst>
                              <a:ext uri="{28A0092B-C50C-407E-A947-70E740481C1C}">
                                <a14:useLocalDpi xmlns:a14="http://schemas.microsoft.com/office/drawing/2010/main" val="0"/>
                              </a:ext>
                            </a:extLst>
                          </a:blip>
                          <a:srcRect r="-1944" b="-980"/>
                          <a:stretch>
                            <a:fillRect/>
                          </a:stretch>
                        </pic:blipFill>
                        <pic:spPr>
                          <a:xfrm>
                            <a:off x="0" y="0"/>
                            <a:ext cx="233045" cy="327025"/>
                          </a:xfrm>
                          <a:prstGeom prst="rect">
                            <a:avLst/>
                          </a:prstGeom>
                        </pic:spPr>
                      </pic:pic>
                    </a:graphicData>
                  </a:graphic>
                </wp:inline>
              </w:drawing>
            </w:r>
          </w:p>
        </w:tc>
      </w:tr>
      <w:tr w:rsidR="00B91FB6" w:rsidRPr="00D837DC" w14:paraId="019C4A93" w14:textId="77777777" w:rsidTr="228950F6">
        <w:tc>
          <w:tcPr>
            <w:tcW w:w="9360" w:type="dxa"/>
            <w:gridSpan w:val="2"/>
            <w:tcBorders>
              <w:top w:val="nil"/>
              <w:left w:val="nil"/>
              <w:right w:val="nil"/>
            </w:tcBorders>
            <w:shd w:val="clear" w:color="auto" w:fill="F8F8F8"/>
            <w:tcMar>
              <w:top w:w="58" w:type="dxa"/>
              <w:left w:w="115" w:type="dxa"/>
              <w:bottom w:w="58" w:type="dxa"/>
              <w:right w:w="115" w:type="dxa"/>
            </w:tcMar>
          </w:tcPr>
          <w:p w14:paraId="441793E9" w14:textId="77777777" w:rsidR="00B91FB6" w:rsidRDefault="00B91FB6" w:rsidP="00B91FB6">
            <w:pPr>
              <w:pStyle w:val="TableText"/>
              <w:rPr>
                <w:lang w:val="en-CA" w:eastAsia="en-CA"/>
              </w:rPr>
            </w:pPr>
            <w:r w:rsidRPr="00377146">
              <w:rPr>
                <w:lang w:val="en-CA" w:eastAsia="en-CA"/>
              </w:rPr>
              <w:t>This integration can occur through conformance to the following specifica</w:t>
            </w:r>
            <w:r>
              <w:rPr>
                <w:lang w:val="en-CA" w:eastAsia="en-CA"/>
              </w:rPr>
              <w:t>tions:</w:t>
            </w:r>
          </w:p>
          <w:p w14:paraId="57922A35" w14:textId="17A3D330" w:rsidR="00B91FB6" w:rsidRPr="00D55EB7" w:rsidRDefault="008751A9" w:rsidP="00274867">
            <w:pPr>
              <w:pStyle w:val="TableText"/>
              <w:numPr>
                <w:ilvl w:val="0"/>
                <w:numId w:val="32"/>
              </w:numPr>
              <w:rPr>
                <w:rStyle w:val="Hyperlink"/>
                <w:color w:val="auto"/>
                <w:u w:val="none"/>
                <w:lang w:val="en-CA" w:eastAsia="en-CA"/>
              </w:rPr>
            </w:pPr>
            <w:hyperlink r:id="rId28" w:history="1">
              <w:r w:rsidR="00B91FB6">
                <w:rPr>
                  <w:rStyle w:val="Hyperlink"/>
                  <w:lang w:val="en-CA" w:eastAsia="en-CA"/>
                </w:rPr>
                <w:t>Provincial Client Registry – HL7 FHIR Implementation Guide</w:t>
              </w:r>
            </w:hyperlink>
            <w:r w:rsidR="00513667">
              <w:rPr>
                <w:rStyle w:val="Hyperlink"/>
                <w:lang w:val="en-CA" w:eastAsia="en-CA"/>
              </w:rPr>
              <w:t>;</w:t>
            </w:r>
          </w:p>
          <w:p w14:paraId="1D6A27EB" w14:textId="57B9ED5F" w:rsidR="00B91FB6" w:rsidRPr="00880716" w:rsidRDefault="00D92A6E" w:rsidP="00274867">
            <w:pPr>
              <w:pStyle w:val="TableText"/>
              <w:numPr>
                <w:ilvl w:val="0"/>
                <w:numId w:val="32"/>
              </w:numPr>
              <w:rPr>
                <w:rStyle w:val="Hyperlink"/>
                <w:color w:val="auto"/>
              </w:rPr>
            </w:pPr>
            <w:hyperlink r:id="rId29" w:history="1">
              <w:r w:rsidR="00B91FB6" w:rsidRPr="00E17875">
                <w:rPr>
                  <w:rStyle w:val="Hyperlink"/>
                </w:rPr>
                <w:t>PCR Admission Discharge Transfer (ADT) HL7 v2</w:t>
              </w:r>
              <w:r w:rsidR="00E17875" w:rsidRPr="00E17875">
                <w:rPr>
                  <w:rStyle w:val="Hyperlink"/>
                </w:rPr>
                <w:t xml:space="preserve"> Update Interface Specification</w:t>
              </w:r>
            </w:hyperlink>
            <w:r w:rsidR="00513667">
              <w:rPr>
                <w:rStyle w:val="Hyperlink"/>
              </w:rPr>
              <w:t>;</w:t>
            </w:r>
          </w:p>
          <w:p w14:paraId="1E822398" w14:textId="794E1B3E" w:rsidR="00B91FB6" w:rsidRPr="00590206" w:rsidRDefault="00D92A6E" w:rsidP="00590206">
            <w:pPr>
              <w:pStyle w:val="TableText"/>
              <w:numPr>
                <w:ilvl w:val="0"/>
                <w:numId w:val="32"/>
              </w:numPr>
              <w:rPr>
                <w:b/>
                <w:sz w:val="20"/>
                <w:szCs w:val="20"/>
                <w:lang w:val="en-CA" w:eastAsia="en-CA"/>
              </w:rPr>
            </w:pPr>
            <w:hyperlink r:id="rId30" w:history="1">
              <w:r w:rsidR="00B91FB6" w:rsidRPr="00E17875">
                <w:rPr>
                  <w:rStyle w:val="Hyperlink"/>
                </w:rPr>
                <w:t xml:space="preserve">Provincial Client Registry IHE PIX PDQ </w:t>
              </w:r>
              <w:r w:rsidR="00E17875" w:rsidRPr="00E17875">
                <w:rPr>
                  <w:rStyle w:val="Hyperlink"/>
                </w:rPr>
                <w:t xml:space="preserve">HL7 </w:t>
              </w:r>
              <w:r w:rsidR="00B91FB6" w:rsidRPr="00E17875">
                <w:rPr>
                  <w:rStyle w:val="Hyperlink"/>
                </w:rPr>
                <w:t>v2 Implementation Guide</w:t>
              </w:r>
            </w:hyperlink>
            <w:r w:rsidR="008565C6">
              <w:rPr>
                <w:rStyle w:val="Hyperlink"/>
              </w:rPr>
              <w:t>.</w:t>
            </w:r>
          </w:p>
        </w:tc>
      </w:tr>
      <w:tr w:rsidR="009309F9" w14:paraId="0CCB0ED3" w14:textId="7FC180CE" w:rsidTr="228950F6">
        <w:tc>
          <w:tcPr>
            <w:tcW w:w="9360" w:type="dxa"/>
            <w:gridSpan w:val="2"/>
            <w:tcBorders>
              <w:left w:val="nil"/>
              <w:right w:val="nil"/>
            </w:tcBorders>
            <w:tcMar>
              <w:top w:w="58" w:type="dxa"/>
              <w:left w:w="115" w:type="dxa"/>
              <w:bottom w:w="58" w:type="dxa"/>
              <w:right w:w="115" w:type="dxa"/>
            </w:tcMar>
          </w:tcPr>
          <w:p w14:paraId="7FA60D61" w14:textId="76B97530" w:rsidR="009309F9" w:rsidRPr="00803817" w:rsidRDefault="00B051A5" w:rsidP="00B91FB6">
            <w:pPr>
              <w:pStyle w:val="TableText"/>
              <w:rPr>
                <w:b/>
                <w:sz w:val="20"/>
                <w:szCs w:val="20"/>
                <w:lang w:val="en-CA" w:eastAsia="en-CA"/>
              </w:rPr>
            </w:pPr>
            <w:r>
              <w:rPr>
                <w:b/>
                <w:sz w:val="20"/>
                <w:szCs w:val="20"/>
                <w:lang w:val="en-CA" w:eastAsia="en-CA"/>
              </w:rPr>
              <w:t xml:space="preserve">Expected Response </w:t>
            </w:r>
            <w:r w:rsidR="00366151">
              <w:rPr>
                <w:b/>
                <w:sz w:val="20"/>
                <w:szCs w:val="20"/>
                <w:lang w:val="en-CA" w:eastAsia="en-CA"/>
              </w:rPr>
              <w:t>from</w:t>
            </w:r>
            <w:r w:rsidR="009309F9" w:rsidRPr="00803817">
              <w:rPr>
                <w:b/>
                <w:sz w:val="20"/>
                <w:szCs w:val="20"/>
                <w:lang w:val="en-CA" w:eastAsia="en-CA"/>
              </w:rPr>
              <w:t xml:space="preserve"> Vendor</w:t>
            </w:r>
          </w:p>
          <w:p w14:paraId="3D7758E5" w14:textId="44E2F656" w:rsidR="009309F9" w:rsidRPr="00803817" w:rsidRDefault="009309F9" w:rsidP="00410D4F">
            <w:pPr>
              <w:pStyle w:val="TableText"/>
              <w:rPr>
                <w:b/>
                <w:sz w:val="20"/>
                <w:szCs w:val="20"/>
                <w:lang w:val="en-CA" w:eastAsia="en-CA"/>
              </w:rPr>
            </w:pPr>
            <w:r w:rsidRPr="00D837DC">
              <w:rPr>
                <w:lang w:val="en-CA" w:eastAsia="en-CA"/>
              </w:rPr>
              <w:t>Preference will be give</w:t>
            </w:r>
            <w:r w:rsidRPr="001813F2">
              <w:rPr>
                <w:lang w:val="en-CA" w:eastAsia="en-CA"/>
              </w:rPr>
              <w:t>n to responses that demonstrate previous experience integrating with external client registries in other jurisdictions. Experience with the listed specifications, and with leveraging common client identifiers among participating systems through both a data</w:t>
            </w:r>
            <w:r>
              <w:rPr>
                <w:lang w:val="en-CA" w:eastAsia="en-CA"/>
              </w:rPr>
              <w:t>-</w:t>
            </w:r>
            <w:r w:rsidRPr="001813F2">
              <w:rPr>
                <w:lang w:val="en-CA" w:eastAsia="en-CA"/>
              </w:rPr>
              <w:t>out and data</w:t>
            </w:r>
            <w:r>
              <w:rPr>
                <w:lang w:val="en-CA" w:eastAsia="en-CA"/>
              </w:rPr>
              <w:t>-</w:t>
            </w:r>
            <w:r w:rsidRPr="001813F2">
              <w:rPr>
                <w:lang w:val="en-CA" w:eastAsia="en-CA"/>
              </w:rPr>
              <w:t>in integration mechanism, is preferred.</w:t>
            </w:r>
          </w:p>
        </w:tc>
      </w:tr>
      <w:tr w:rsidR="009309F9" w14:paraId="7E919CBF" w14:textId="78D4A00E" w:rsidTr="228950F6">
        <w:tc>
          <w:tcPr>
            <w:tcW w:w="9360" w:type="dxa"/>
            <w:gridSpan w:val="2"/>
            <w:tcBorders>
              <w:left w:val="nil"/>
              <w:right w:val="nil"/>
            </w:tcBorders>
            <w:shd w:val="clear" w:color="auto" w:fill="F8F8F8"/>
            <w:tcMar>
              <w:top w:w="58" w:type="dxa"/>
              <w:left w:w="115" w:type="dxa"/>
              <w:bottom w:w="58" w:type="dxa"/>
              <w:right w:w="115" w:type="dxa"/>
            </w:tcMar>
          </w:tcPr>
          <w:p w14:paraId="142FFFE4" w14:textId="77777777" w:rsidR="009309F9" w:rsidRPr="00803817" w:rsidRDefault="009309F9" w:rsidP="00B91FB6">
            <w:pPr>
              <w:pStyle w:val="TableText"/>
              <w:rPr>
                <w:sz w:val="20"/>
                <w:szCs w:val="20"/>
                <w:lang w:val="en-CA" w:eastAsia="en-CA"/>
              </w:rPr>
            </w:pPr>
            <w:r w:rsidRPr="00803817">
              <w:rPr>
                <w:b/>
                <w:sz w:val="20"/>
                <w:szCs w:val="20"/>
                <w:lang w:val="en-CA" w:eastAsia="en-CA"/>
              </w:rPr>
              <w:t>Rationale</w:t>
            </w:r>
          </w:p>
          <w:p w14:paraId="10788102" w14:textId="3531D5AA" w:rsidR="009309F9" w:rsidRPr="001813F2" w:rsidRDefault="009309F9" w:rsidP="00B91FB6">
            <w:pPr>
              <w:pStyle w:val="TableText"/>
              <w:rPr>
                <w:lang w:val="en-CA" w:eastAsia="en-CA"/>
              </w:rPr>
            </w:pPr>
            <w:r w:rsidRPr="001813F2">
              <w:rPr>
                <w:lang w:val="en-CA" w:eastAsia="en-CA"/>
              </w:rPr>
              <w:t>Every person who receives care in Ontario, regardless of their eligibility for government</w:t>
            </w:r>
            <w:r>
              <w:rPr>
                <w:lang w:val="en-CA" w:eastAsia="en-CA"/>
              </w:rPr>
              <w:t>-</w:t>
            </w:r>
            <w:r w:rsidRPr="001813F2">
              <w:rPr>
                <w:lang w:val="en-CA" w:eastAsia="en-CA"/>
              </w:rPr>
              <w:t xml:space="preserve">funded health services, is to be unambiguously identifiable by a unique identifier, used uniformly across the province. The </w:t>
            </w:r>
            <w:r>
              <w:rPr>
                <w:lang w:val="en-CA" w:eastAsia="en-CA"/>
              </w:rPr>
              <w:t>P</w:t>
            </w:r>
            <w:r w:rsidRPr="001813F2">
              <w:rPr>
                <w:lang w:val="en-CA" w:eastAsia="en-CA"/>
              </w:rPr>
              <w:t xml:space="preserve">rovincial </w:t>
            </w:r>
            <w:r>
              <w:rPr>
                <w:lang w:val="en-CA" w:eastAsia="en-CA"/>
              </w:rPr>
              <w:t>C</w:t>
            </w:r>
            <w:r w:rsidRPr="001813F2">
              <w:rPr>
                <w:lang w:val="en-CA" w:eastAsia="en-CA"/>
              </w:rPr>
              <w:t xml:space="preserve">lient </w:t>
            </w:r>
            <w:r>
              <w:rPr>
                <w:lang w:val="en-CA" w:eastAsia="en-CA"/>
              </w:rPr>
              <w:t>R</w:t>
            </w:r>
            <w:r w:rsidRPr="001813F2">
              <w:rPr>
                <w:lang w:val="en-CA" w:eastAsia="en-CA"/>
              </w:rPr>
              <w:t>egistry is the definitive source for a health</w:t>
            </w:r>
            <w:r w:rsidR="003B1EE1">
              <w:rPr>
                <w:lang w:val="en-CA" w:eastAsia="en-CA"/>
              </w:rPr>
              <w:t xml:space="preserve"> </w:t>
            </w:r>
            <w:r w:rsidRPr="001813F2">
              <w:rPr>
                <w:lang w:val="en-CA" w:eastAsia="en-CA"/>
              </w:rPr>
              <w:t>care client’s identity, facilitating the unique, accurate and reliable identification of individual clients and others who receive care in Ontario</w:t>
            </w:r>
            <w:r w:rsidR="008C7529">
              <w:rPr>
                <w:lang w:val="en-CA" w:eastAsia="en-CA"/>
              </w:rPr>
              <w:t>.</w:t>
            </w:r>
          </w:p>
          <w:p w14:paraId="79F9DF86" w14:textId="60A8B434" w:rsidR="009309F9" w:rsidRPr="001813F2" w:rsidRDefault="009309F9" w:rsidP="00B91FB6">
            <w:pPr>
              <w:pStyle w:val="TableText"/>
              <w:rPr>
                <w:lang w:val="en-CA" w:eastAsia="en-CA"/>
              </w:rPr>
            </w:pPr>
            <w:r w:rsidRPr="001813F2">
              <w:rPr>
                <w:lang w:val="en-CA" w:eastAsia="en-CA"/>
              </w:rPr>
              <w:t xml:space="preserve">The </w:t>
            </w:r>
            <w:r>
              <w:rPr>
                <w:lang w:val="en-CA" w:eastAsia="en-CA"/>
              </w:rPr>
              <w:t>P</w:t>
            </w:r>
            <w:r w:rsidRPr="001813F2">
              <w:rPr>
                <w:lang w:val="en-CA" w:eastAsia="en-CA"/>
              </w:rPr>
              <w:t xml:space="preserve">rovincial </w:t>
            </w:r>
            <w:r>
              <w:rPr>
                <w:lang w:val="en-CA" w:eastAsia="en-CA"/>
              </w:rPr>
              <w:t>C</w:t>
            </w:r>
            <w:r w:rsidRPr="001813F2">
              <w:rPr>
                <w:lang w:val="en-CA" w:eastAsia="en-CA"/>
              </w:rPr>
              <w:t xml:space="preserve">lient </w:t>
            </w:r>
            <w:r>
              <w:rPr>
                <w:lang w:val="en-CA" w:eastAsia="en-CA"/>
              </w:rPr>
              <w:t>R</w:t>
            </w:r>
            <w:r w:rsidRPr="001813F2">
              <w:rPr>
                <w:lang w:val="en-CA" w:eastAsia="en-CA"/>
              </w:rPr>
              <w:t xml:space="preserve">egistry is fed by a number of data sources, including the </w:t>
            </w:r>
            <w:r w:rsidR="00E46AE2">
              <w:rPr>
                <w:lang w:val="en-CA" w:eastAsia="en-CA"/>
              </w:rPr>
              <w:t>R</w:t>
            </w:r>
            <w:r w:rsidRPr="001813F2">
              <w:rPr>
                <w:lang w:val="en-CA" w:eastAsia="en-CA"/>
              </w:rPr>
              <w:t xml:space="preserve">egistered </w:t>
            </w:r>
            <w:r w:rsidR="00E46AE2">
              <w:rPr>
                <w:lang w:val="en-CA" w:eastAsia="en-CA"/>
              </w:rPr>
              <w:t>P</w:t>
            </w:r>
            <w:r w:rsidRPr="001813F2">
              <w:rPr>
                <w:lang w:val="en-CA" w:eastAsia="en-CA"/>
              </w:rPr>
              <w:t xml:space="preserve">ersons </w:t>
            </w:r>
            <w:r w:rsidR="00E46AE2">
              <w:rPr>
                <w:lang w:val="en-CA" w:eastAsia="en-CA"/>
              </w:rPr>
              <w:t>D</w:t>
            </w:r>
            <w:r w:rsidRPr="001813F2">
              <w:rPr>
                <w:lang w:val="en-CA" w:eastAsia="en-CA"/>
              </w:rPr>
              <w:t>atabase (RPDB) used by OHIP, systems that are used by hospitals to track admissions, discharges and transfers (admission, discharge, transfer systems) and other systems that participate in health</w:t>
            </w:r>
            <w:r w:rsidR="00AA4B8F">
              <w:rPr>
                <w:lang w:val="en-CA" w:eastAsia="en-CA"/>
              </w:rPr>
              <w:t xml:space="preserve"> </w:t>
            </w:r>
            <w:r w:rsidRPr="001813F2">
              <w:rPr>
                <w:lang w:val="en-CA" w:eastAsia="en-CA"/>
              </w:rPr>
              <w:t xml:space="preserve">care services. It includes the functionality of the </w:t>
            </w:r>
            <w:r>
              <w:rPr>
                <w:lang w:val="en-CA" w:eastAsia="en-CA"/>
              </w:rPr>
              <w:t>E</w:t>
            </w:r>
            <w:r w:rsidRPr="001813F2">
              <w:rPr>
                <w:lang w:val="en-CA" w:eastAsia="en-CA"/>
              </w:rPr>
              <w:t xml:space="preserve">nterprise </w:t>
            </w:r>
            <w:r>
              <w:rPr>
                <w:lang w:val="en-CA" w:eastAsia="en-CA"/>
              </w:rPr>
              <w:t>M</w:t>
            </w:r>
            <w:r w:rsidRPr="001813F2">
              <w:rPr>
                <w:lang w:val="en-CA" w:eastAsia="en-CA"/>
              </w:rPr>
              <w:t xml:space="preserve">aster </w:t>
            </w:r>
            <w:r>
              <w:rPr>
                <w:lang w:val="en-CA" w:eastAsia="en-CA"/>
              </w:rPr>
              <w:t>P</w:t>
            </w:r>
            <w:r w:rsidRPr="001813F2">
              <w:rPr>
                <w:lang w:val="en-CA" w:eastAsia="en-CA"/>
              </w:rPr>
              <w:t xml:space="preserve">atient </w:t>
            </w:r>
            <w:r>
              <w:rPr>
                <w:lang w:val="en-CA" w:eastAsia="en-CA"/>
              </w:rPr>
              <w:t>I</w:t>
            </w:r>
            <w:r w:rsidRPr="001813F2">
              <w:rPr>
                <w:lang w:val="en-CA" w:eastAsia="en-CA"/>
              </w:rPr>
              <w:t>ndex (EMPI), a service that matches records from different sources referring to a single health</w:t>
            </w:r>
            <w:r w:rsidR="00AA4B8F">
              <w:rPr>
                <w:lang w:val="en-CA" w:eastAsia="en-CA"/>
              </w:rPr>
              <w:t xml:space="preserve"> </w:t>
            </w:r>
            <w:r w:rsidRPr="001813F2">
              <w:rPr>
                <w:lang w:val="en-CA" w:eastAsia="en-CA"/>
              </w:rPr>
              <w:t>care client.</w:t>
            </w:r>
          </w:p>
          <w:p w14:paraId="0201018F" w14:textId="17711B47" w:rsidR="009309F9" w:rsidRPr="001813F2" w:rsidRDefault="009309F9" w:rsidP="00B91FB6">
            <w:pPr>
              <w:pStyle w:val="TableText"/>
              <w:rPr>
                <w:lang w:val="en-CA" w:eastAsia="en-CA"/>
              </w:rPr>
            </w:pPr>
            <w:r w:rsidRPr="001813F2">
              <w:rPr>
                <w:lang w:val="en-CA" w:eastAsia="en-CA"/>
              </w:rPr>
              <w:t xml:space="preserve">Examples of services provided by the </w:t>
            </w:r>
            <w:r w:rsidR="00880716">
              <w:rPr>
                <w:lang w:val="en-CA" w:eastAsia="en-CA"/>
              </w:rPr>
              <w:t>P</w:t>
            </w:r>
            <w:r w:rsidRPr="001813F2">
              <w:rPr>
                <w:lang w:val="en-CA" w:eastAsia="en-CA"/>
              </w:rPr>
              <w:t xml:space="preserve">rovincial </w:t>
            </w:r>
            <w:r w:rsidR="00880716">
              <w:rPr>
                <w:lang w:val="en-CA" w:eastAsia="en-CA"/>
              </w:rPr>
              <w:t>C</w:t>
            </w:r>
            <w:r w:rsidRPr="001813F2">
              <w:rPr>
                <w:lang w:val="en-CA" w:eastAsia="en-CA"/>
              </w:rPr>
              <w:t xml:space="preserve">lient </w:t>
            </w:r>
            <w:r w:rsidR="00880716">
              <w:rPr>
                <w:lang w:val="en-CA" w:eastAsia="en-CA"/>
              </w:rPr>
              <w:t>R</w:t>
            </w:r>
            <w:r w:rsidRPr="001813F2">
              <w:rPr>
                <w:lang w:val="en-CA" w:eastAsia="en-CA"/>
              </w:rPr>
              <w:t>egistry include:</w:t>
            </w:r>
          </w:p>
          <w:p w14:paraId="7BA57162" w14:textId="2B5FE7E7" w:rsidR="009309F9" w:rsidRPr="001813F2" w:rsidRDefault="009309F9" w:rsidP="00274867">
            <w:pPr>
              <w:pStyle w:val="TableText"/>
              <w:numPr>
                <w:ilvl w:val="0"/>
                <w:numId w:val="30"/>
              </w:numPr>
              <w:ind w:left="545" w:hanging="185"/>
              <w:rPr>
                <w:lang w:val="en-CA" w:eastAsia="en-CA"/>
              </w:rPr>
            </w:pPr>
            <w:r w:rsidRPr="001813F2">
              <w:rPr>
                <w:lang w:val="en-CA" w:eastAsia="en-CA"/>
              </w:rPr>
              <w:t>Validating health</w:t>
            </w:r>
            <w:r w:rsidR="00B62A9E">
              <w:rPr>
                <w:lang w:val="en-CA" w:eastAsia="en-CA"/>
              </w:rPr>
              <w:t xml:space="preserve"> </w:t>
            </w:r>
            <w:r w:rsidRPr="001813F2">
              <w:rPr>
                <w:lang w:val="en-CA" w:eastAsia="en-CA"/>
              </w:rPr>
              <w:t>care client identity information</w:t>
            </w:r>
            <w:r>
              <w:rPr>
                <w:lang w:val="en-CA" w:eastAsia="en-CA"/>
              </w:rPr>
              <w:t>;</w:t>
            </w:r>
          </w:p>
          <w:p w14:paraId="14FBC3C7" w14:textId="6736BEB5" w:rsidR="009309F9" w:rsidRPr="001813F2" w:rsidRDefault="009309F9" w:rsidP="00274867">
            <w:pPr>
              <w:pStyle w:val="TableText"/>
              <w:numPr>
                <w:ilvl w:val="0"/>
                <w:numId w:val="30"/>
              </w:numPr>
              <w:ind w:left="545" w:hanging="185"/>
              <w:rPr>
                <w:lang w:val="en-CA" w:eastAsia="en-CA"/>
              </w:rPr>
            </w:pPr>
            <w:r w:rsidRPr="001813F2">
              <w:rPr>
                <w:lang w:val="en-CA" w:eastAsia="en-CA"/>
              </w:rPr>
              <w:t>Searching and resolving information from multiple sources that refer to the same health</w:t>
            </w:r>
            <w:r w:rsidR="004F56A6">
              <w:rPr>
                <w:lang w:val="en-CA" w:eastAsia="en-CA"/>
              </w:rPr>
              <w:t xml:space="preserve"> </w:t>
            </w:r>
            <w:r w:rsidRPr="001813F2">
              <w:rPr>
                <w:lang w:val="en-CA" w:eastAsia="en-CA"/>
              </w:rPr>
              <w:t>care client identity</w:t>
            </w:r>
            <w:r>
              <w:rPr>
                <w:lang w:val="en-CA" w:eastAsia="en-CA"/>
              </w:rPr>
              <w:t>;</w:t>
            </w:r>
          </w:p>
          <w:p w14:paraId="19926790" w14:textId="3A3F1E3D" w:rsidR="009309F9" w:rsidRPr="001813F2" w:rsidRDefault="009309F9" w:rsidP="00274867">
            <w:pPr>
              <w:pStyle w:val="TableText"/>
              <w:numPr>
                <w:ilvl w:val="0"/>
                <w:numId w:val="30"/>
              </w:numPr>
              <w:ind w:left="545" w:hanging="185"/>
              <w:rPr>
                <w:lang w:val="en-CA" w:eastAsia="en-CA"/>
              </w:rPr>
            </w:pPr>
            <w:r w:rsidRPr="001813F2">
              <w:rPr>
                <w:lang w:val="en-CA" w:eastAsia="en-CA"/>
              </w:rPr>
              <w:t>Obtaining summary and detailed demographic information about a health</w:t>
            </w:r>
            <w:r w:rsidR="004F56A6">
              <w:rPr>
                <w:lang w:val="en-CA" w:eastAsia="en-CA"/>
              </w:rPr>
              <w:t xml:space="preserve"> </w:t>
            </w:r>
            <w:r w:rsidRPr="001813F2">
              <w:rPr>
                <w:lang w:val="en-CA" w:eastAsia="en-CA"/>
              </w:rPr>
              <w:t>care client</w:t>
            </w:r>
            <w:r>
              <w:rPr>
                <w:lang w:val="en-CA" w:eastAsia="en-CA"/>
              </w:rPr>
              <w:t>;</w:t>
            </w:r>
          </w:p>
          <w:p w14:paraId="209BB09E" w14:textId="2277E700" w:rsidR="009309F9" w:rsidRPr="001813F2" w:rsidRDefault="009309F9" w:rsidP="00274867">
            <w:pPr>
              <w:pStyle w:val="TableText"/>
              <w:numPr>
                <w:ilvl w:val="0"/>
                <w:numId w:val="30"/>
              </w:numPr>
              <w:ind w:left="545" w:hanging="185"/>
              <w:rPr>
                <w:lang w:val="en-CA" w:eastAsia="en-CA"/>
              </w:rPr>
            </w:pPr>
            <w:r w:rsidRPr="001813F2">
              <w:rPr>
                <w:lang w:val="en-CA" w:eastAsia="en-CA"/>
              </w:rPr>
              <w:t>Adding and updating a health</w:t>
            </w:r>
            <w:r w:rsidR="004F56A6">
              <w:rPr>
                <w:lang w:val="en-CA" w:eastAsia="en-CA"/>
              </w:rPr>
              <w:t xml:space="preserve"> </w:t>
            </w:r>
            <w:r w:rsidRPr="001813F2">
              <w:rPr>
                <w:lang w:val="en-CA" w:eastAsia="en-CA"/>
              </w:rPr>
              <w:t>care client record</w:t>
            </w:r>
            <w:r>
              <w:rPr>
                <w:lang w:val="en-CA" w:eastAsia="en-CA"/>
              </w:rPr>
              <w:t>;</w:t>
            </w:r>
          </w:p>
          <w:p w14:paraId="0FD364CF" w14:textId="6CE5A07F" w:rsidR="009309F9" w:rsidRPr="001813F2" w:rsidRDefault="009309F9" w:rsidP="00274867">
            <w:pPr>
              <w:pStyle w:val="TableText"/>
              <w:numPr>
                <w:ilvl w:val="0"/>
                <w:numId w:val="30"/>
              </w:numPr>
              <w:ind w:left="545" w:hanging="185"/>
              <w:rPr>
                <w:lang w:val="en-CA" w:eastAsia="en-CA"/>
              </w:rPr>
            </w:pPr>
            <w:r w:rsidRPr="001813F2">
              <w:rPr>
                <w:lang w:val="en-CA" w:eastAsia="en-CA"/>
              </w:rPr>
              <w:t>Merging and unmerging health</w:t>
            </w:r>
            <w:r w:rsidR="004F56A6">
              <w:rPr>
                <w:lang w:val="en-CA" w:eastAsia="en-CA"/>
              </w:rPr>
              <w:t xml:space="preserve"> </w:t>
            </w:r>
            <w:r w:rsidRPr="001813F2">
              <w:rPr>
                <w:lang w:val="en-CA" w:eastAsia="en-CA"/>
              </w:rPr>
              <w:t>care client records (because they either do, or do not, refer to the same individual)</w:t>
            </w:r>
            <w:r>
              <w:rPr>
                <w:lang w:val="en-CA" w:eastAsia="en-CA"/>
              </w:rPr>
              <w:t>;</w:t>
            </w:r>
          </w:p>
          <w:p w14:paraId="11BE73AB" w14:textId="77777777" w:rsidR="009309F9" w:rsidRPr="001813F2" w:rsidRDefault="009309F9" w:rsidP="00274867">
            <w:pPr>
              <w:pStyle w:val="TableText"/>
              <w:numPr>
                <w:ilvl w:val="0"/>
                <w:numId w:val="30"/>
              </w:numPr>
              <w:ind w:left="545" w:hanging="185"/>
              <w:rPr>
                <w:lang w:val="en-CA" w:eastAsia="en-CA"/>
              </w:rPr>
            </w:pPr>
            <w:r w:rsidRPr="001813F2">
              <w:rPr>
                <w:lang w:val="en-CA" w:eastAsia="en-CA"/>
              </w:rPr>
              <w:t>Managing publish/subscribe notifications of adds, updates, merges and splits to downstream systems</w:t>
            </w:r>
            <w:r>
              <w:rPr>
                <w:lang w:val="en-CA" w:eastAsia="en-CA"/>
              </w:rPr>
              <w:t>.</w:t>
            </w:r>
          </w:p>
          <w:p w14:paraId="526825E9" w14:textId="226A0091" w:rsidR="009309F9" w:rsidRPr="001813F2" w:rsidRDefault="009309F9" w:rsidP="00B91FB6">
            <w:pPr>
              <w:pStyle w:val="TableText"/>
              <w:spacing w:before="120"/>
              <w:rPr>
                <w:lang w:val="en-CA" w:eastAsia="en-CA"/>
              </w:rPr>
            </w:pPr>
            <w:r w:rsidRPr="001813F2">
              <w:rPr>
                <w:lang w:val="en-CA" w:eastAsia="en-CA"/>
              </w:rPr>
              <w:t xml:space="preserve">Without a common </w:t>
            </w:r>
            <w:r w:rsidR="00880716">
              <w:rPr>
                <w:lang w:val="en-CA" w:eastAsia="en-CA"/>
              </w:rPr>
              <w:t>C</w:t>
            </w:r>
            <w:r w:rsidRPr="001813F2">
              <w:rPr>
                <w:lang w:val="en-CA" w:eastAsia="en-CA"/>
              </w:rPr>
              <w:t xml:space="preserve">lient </w:t>
            </w:r>
            <w:r w:rsidR="00880716">
              <w:rPr>
                <w:lang w:val="en-CA" w:eastAsia="en-CA"/>
              </w:rPr>
              <w:t>R</w:t>
            </w:r>
            <w:r w:rsidRPr="001813F2">
              <w:rPr>
                <w:lang w:val="en-CA" w:eastAsia="en-CA"/>
              </w:rPr>
              <w:t xml:space="preserve">egistry, and common algorithm and data for linking and unlinking client identifiers, EHRs cannot be reliably associated with a specific person. A single </w:t>
            </w:r>
            <w:r>
              <w:rPr>
                <w:lang w:val="en-CA" w:eastAsia="en-CA"/>
              </w:rPr>
              <w:t>P</w:t>
            </w:r>
            <w:r w:rsidRPr="001813F2">
              <w:rPr>
                <w:lang w:val="en-CA" w:eastAsia="en-CA"/>
              </w:rPr>
              <w:t xml:space="preserve">rovincial </w:t>
            </w:r>
            <w:r>
              <w:rPr>
                <w:lang w:val="en-CA" w:eastAsia="en-CA"/>
              </w:rPr>
              <w:t>C</w:t>
            </w:r>
            <w:r w:rsidRPr="001813F2">
              <w:rPr>
                <w:lang w:val="en-CA" w:eastAsia="en-CA"/>
              </w:rPr>
              <w:t xml:space="preserve">lient </w:t>
            </w:r>
            <w:r>
              <w:rPr>
                <w:lang w:val="en-CA" w:eastAsia="en-CA"/>
              </w:rPr>
              <w:t>R</w:t>
            </w:r>
            <w:r w:rsidRPr="001813F2">
              <w:rPr>
                <w:lang w:val="en-CA" w:eastAsia="en-CA"/>
              </w:rPr>
              <w:t xml:space="preserve">egistry, one that is considered the provincial authoritative source of client identifiers by all EHR </w:t>
            </w:r>
            <w:r w:rsidR="007A3E39">
              <w:rPr>
                <w:lang w:val="en-CA" w:eastAsia="en-CA"/>
              </w:rPr>
              <w:t>assets</w:t>
            </w:r>
            <w:r w:rsidRPr="001813F2">
              <w:rPr>
                <w:lang w:val="en-CA" w:eastAsia="en-CA"/>
              </w:rPr>
              <w:t xml:space="preserve">, is therefore essential to a provincial EHR. Hospital Information Systems (HIS) currently feed Ontario’s </w:t>
            </w:r>
            <w:r w:rsidR="00880716">
              <w:rPr>
                <w:lang w:val="en-CA" w:eastAsia="en-CA"/>
              </w:rPr>
              <w:t>P</w:t>
            </w:r>
            <w:r w:rsidRPr="001813F2">
              <w:rPr>
                <w:lang w:val="en-CA" w:eastAsia="en-CA"/>
              </w:rPr>
              <w:t xml:space="preserve">rovincial </w:t>
            </w:r>
            <w:r w:rsidR="00880716">
              <w:rPr>
                <w:lang w:val="en-CA" w:eastAsia="en-CA"/>
              </w:rPr>
              <w:t>C</w:t>
            </w:r>
            <w:r w:rsidRPr="001813F2">
              <w:rPr>
                <w:lang w:val="en-CA" w:eastAsia="en-CA"/>
              </w:rPr>
              <w:t xml:space="preserve">lient </w:t>
            </w:r>
            <w:r w:rsidR="00880716">
              <w:rPr>
                <w:lang w:val="en-CA" w:eastAsia="en-CA"/>
              </w:rPr>
              <w:t>R</w:t>
            </w:r>
            <w:r w:rsidRPr="001813F2">
              <w:rPr>
                <w:lang w:val="en-CA" w:eastAsia="en-CA"/>
              </w:rPr>
              <w:t>egistry and contribute local identifiers to help form single linked client records.</w:t>
            </w:r>
          </w:p>
          <w:p w14:paraId="100D3FD0" w14:textId="3753F179" w:rsidR="009309F9" w:rsidRPr="00803817" w:rsidRDefault="009309F9" w:rsidP="00B91FB6">
            <w:pPr>
              <w:pStyle w:val="TableText"/>
              <w:rPr>
                <w:b/>
                <w:sz w:val="20"/>
                <w:szCs w:val="20"/>
                <w:lang w:val="en-CA" w:eastAsia="en-CA"/>
              </w:rPr>
            </w:pPr>
            <w:r w:rsidRPr="001813F2">
              <w:rPr>
                <w:lang w:val="en-CA" w:eastAsia="en-CA"/>
              </w:rPr>
              <w:t xml:space="preserve">POS solutions can actively integrate and use the </w:t>
            </w:r>
            <w:r>
              <w:rPr>
                <w:lang w:val="en-CA" w:eastAsia="en-CA"/>
              </w:rPr>
              <w:t>P</w:t>
            </w:r>
            <w:r w:rsidRPr="001813F2">
              <w:rPr>
                <w:lang w:val="en-CA" w:eastAsia="en-CA"/>
              </w:rPr>
              <w:t xml:space="preserve">rovincial </w:t>
            </w:r>
            <w:r>
              <w:rPr>
                <w:lang w:val="en-CA" w:eastAsia="en-CA"/>
              </w:rPr>
              <w:t>C</w:t>
            </w:r>
            <w:r w:rsidRPr="001813F2">
              <w:rPr>
                <w:lang w:val="en-CA" w:eastAsia="en-CA"/>
              </w:rPr>
              <w:t xml:space="preserve">lient </w:t>
            </w:r>
            <w:r>
              <w:rPr>
                <w:lang w:val="en-CA" w:eastAsia="en-CA"/>
              </w:rPr>
              <w:t>R</w:t>
            </w:r>
            <w:r w:rsidRPr="001813F2">
              <w:rPr>
                <w:lang w:val="en-CA" w:eastAsia="en-CA"/>
              </w:rPr>
              <w:t>egistry to ensure the accuracy of client information that may have been collected through other points of interaction with the health</w:t>
            </w:r>
            <w:r w:rsidR="00A8516B">
              <w:rPr>
                <w:lang w:val="en-CA" w:eastAsia="en-CA"/>
              </w:rPr>
              <w:t xml:space="preserve"> </w:t>
            </w:r>
            <w:r w:rsidRPr="001813F2">
              <w:rPr>
                <w:lang w:val="en-CA" w:eastAsia="en-CA"/>
              </w:rPr>
              <w:t>care system.</w:t>
            </w:r>
          </w:p>
        </w:tc>
      </w:tr>
    </w:tbl>
    <w:p w14:paraId="047C7511" w14:textId="6C07559B" w:rsidR="00690901" w:rsidRDefault="00690901" w:rsidP="00F43D42">
      <w:pPr>
        <w:pStyle w:val="Heading1"/>
      </w:pPr>
      <w:bookmarkStart w:id="25" w:name="_Toc54610992"/>
      <w:r>
        <w:t>C</w:t>
      </w:r>
      <w:r w:rsidR="0049584A">
        <w:t>linical Data Repositor</w:t>
      </w:r>
      <w:r w:rsidR="00377146">
        <w:t>y Requirements</w:t>
      </w:r>
      <w:bookmarkEnd w:id="25"/>
    </w:p>
    <w:tbl>
      <w:tblPr>
        <w:tblStyle w:val="TableGrid"/>
        <w:tblW w:w="9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ayout w:type="fixed"/>
        <w:tblLook w:val="04A0" w:firstRow="1" w:lastRow="0" w:firstColumn="1" w:lastColumn="0" w:noHBand="0" w:noVBand="1"/>
      </w:tblPr>
      <w:tblGrid>
        <w:gridCol w:w="900"/>
        <w:gridCol w:w="8364"/>
      </w:tblGrid>
      <w:tr w:rsidR="00870F25" w14:paraId="6A099E00" w14:textId="77777777" w:rsidTr="228950F6">
        <w:tc>
          <w:tcPr>
            <w:tcW w:w="900" w:type="dxa"/>
            <w:shd w:val="clear" w:color="auto" w:fill="EEECE1" w:themeFill="background2"/>
          </w:tcPr>
          <w:p w14:paraId="32D5DBC3" w14:textId="1095D215" w:rsidR="00870F25" w:rsidRPr="00B43C7D" w:rsidRDefault="00E77248" w:rsidP="00396DFC">
            <w:pPr>
              <w:pStyle w:val="Body"/>
            </w:pPr>
            <w:r>
              <w:rPr>
                <w:rFonts w:ascii="Medium-65" w:hAnsi="Medium-65" w:cs="Arial"/>
                <w:noProof/>
                <w:color w:val="6D6D6D"/>
                <w:sz w:val="21"/>
                <w:szCs w:val="21"/>
              </w:rPr>
              <w:drawing>
                <wp:inline distT="0" distB="0" distL="0" distR="0" wp14:anchorId="7275AE43" wp14:editId="1E87B147">
                  <wp:extent cx="516776" cy="516776"/>
                  <wp:effectExtent l="0" t="0" r="0" b="0"/>
                  <wp:docPr id="16" name="Picture 16" descr="medical chart Icon 612387">
                    <a:hlinkClick xmlns:a="http://schemas.openxmlformats.org/drawingml/2006/main" r:id="rId31" tooltip="&quot;medical ch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cal chart Icon 612387">
                            <a:hlinkClick r:id="rId31" tooltip="&quot;medical chart&quot;"/>
                          </pic:cNvPr>
                          <pic:cNvPicPr>
                            <a:picLocks noChangeAspect="1" noChangeArrowheads="1"/>
                          </pic:cNvPicPr>
                        </pic:nvPicPr>
                        <pic:blipFill>
                          <a:blip r:embed="rId32" cstate="screen">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6776" cy="516776"/>
                          </a:xfrm>
                          <a:prstGeom prst="rect">
                            <a:avLst/>
                          </a:prstGeom>
                          <a:noFill/>
                          <a:ln>
                            <a:noFill/>
                          </a:ln>
                        </pic:spPr>
                      </pic:pic>
                    </a:graphicData>
                  </a:graphic>
                </wp:inline>
              </w:drawing>
            </w:r>
          </w:p>
        </w:tc>
        <w:tc>
          <w:tcPr>
            <w:tcW w:w="8364" w:type="dxa"/>
            <w:shd w:val="clear" w:color="auto" w:fill="EEECE1" w:themeFill="background2"/>
            <w:vAlign w:val="center"/>
          </w:tcPr>
          <w:p w14:paraId="515CA3ED" w14:textId="2C21F7AC" w:rsidR="00870F25" w:rsidRPr="00654F4B" w:rsidRDefault="00917C5A" w:rsidP="00917C5A">
            <w:pPr>
              <w:pStyle w:val="Body"/>
              <w:spacing w:line="240" w:lineRule="auto"/>
              <w:rPr>
                <w:color w:val="404040" w:themeColor="text1" w:themeTint="BF"/>
                <w:spacing w:val="-2"/>
                <w:sz w:val="20"/>
                <w:szCs w:val="20"/>
              </w:rPr>
            </w:pPr>
            <w:r w:rsidRPr="00917C5A">
              <w:rPr>
                <w:color w:val="404040" w:themeColor="text1" w:themeTint="BF"/>
                <w:spacing w:val="-2"/>
                <w:sz w:val="20"/>
                <w:szCs w:val="20"/>
              </w:rPr>
              <w:t xml:space="preserve">The following </w:t>
            </w:r>
            <w:r w:rsidRPr="009B7A32">
              <w:rPr>
                <w:color w:val="404040" w:themeColor="text1" w:themeTint="BF"/>
                <w:spacing w:val="-2"/>
                <w:sz w:val="20"/>
                <w:szCs w:val="20"/>
              </w:rPr>
              <w:t>requirements for POS</w:t>
            </w:r>
            <w:r w:rsidRPr="009B7A32">
              <w:rPr>
                <w:rFonts w:asciiTheme="minorHAnsi" w:hAnsiTheme="minorHAnsi"/>
                <w:b/>
                <w:color w:val="C05B08"/>
                <w:spacing w:val="-2"/>
                <w:sz w:val="18"/>
                <w:szCs w:val="18"/>
              </w:rPr>
              <w:t xml:space="preserve"> system </w:t>
            </w:r>
            <w:r w:rsidRPr="00917C5A">
              <w:rPr>
                <w:rFonts w:asciiTheme="minorHAnsi" w:hAnsiTheme="minorHAnsi"/>
                <w:b/>
                <w:color w:val="C05B08"/>
                <w:spacing w:val="-2"/>
                <w:sz w:val="18"/>
                <w:szCs w:val="18"/>
              </w:rPr>
              <w:t>interoperability</w:t>
            </w:r>
            <w:r w:rsidRPr="009B7A32">
              <w:rPr>
                <w:color w:val="404040" w:themeColor="text1" w:themeTint="BF"/>
                <w:spacing w:val="-2"/>
                <w:sz w:val="20"/>
                <w:szCs w:val="20"/>
              </w:rPr>
              <w:t xml:space="preserve"> with </w:t>
            </w:r>
            <w:r w:rsidRPr="00917C5A">
              <w:rPr>
                <w:rFonts w:asciiTheme="minorHAnsi" w:hAnsiTheme="minorHAnsi"/>
                <w:b/>
                <w:color w:val="C05B08"/>
                <w:spacing w:val="-2"/>
                <w:sz w:val="18"/>
                <w:szCs w:val="18"/>
              </w:rPr>
              <w:t>EHR assets</w:t>
            </w:r>
            <w:r w:rsidRPr="00917C5A">
              <w:rPr>
                <w:color w:val="404040" w:themeColor="text1" w:themeTint="BF"/>
                <w:spacing w:val="-2"/>
                <w:sz w:val="20"/>
                <w:szCs w:val="20"/>
              </w:rPr>
              <w:t xml:space="preserve"> are provided as guidance to organizations planning POS system procurement. Organizations still require thorough vetting to ensure alignment of clinical requirements.</w:t>
            </w:r>
          </w:p>
        </w:tc>
      </w:tr>
    </w:tbl>
    <w:p w14:paraId="16BE4485" w14:textId="0E9227E4" w:rsidR="00665FEA" w:rsidRDefault="002A5B08" w:rsidP="00665FEA">
      <w:pPr>
        <w:pStyle w:val="Body"/>
        <w:spacing w:before="180" w:after="40"/>
      </w:pPr>
      <w:r>
        <w:t>Clinical data repositories</w:t>
      </w:r>
      <w:r w:rsidR="00665FEA">
        <w:t xml:space="preserve"> include:</w:t>
      </w:r>
    </w:p>
    <w:p w14:paraId="47D581CD" w14:textId="3A19C388" w:rsidR="00665FEA" w:rsidRDefault="00665FEA" w:rsidP="00665FEA">
      <w:pPr>
        <w:pStyle w:val="Body"/>
        <w:numPr>
          <w:ilvl w:val="0"/>
          <w:numId w:val="38"/>
        </w:numPr>
        <w:spacing w:before="40" w:after="40"/>
      </w:pPr>
      <w:r>
        <w:t xml:space="preserve">Acute and Community Care Clinical Data Repository Integration (acCDR): Section </w:t>
      </w:r>
      <w:r>
        <w:fldChar w:fldCharType="begin"/>
      </w:r>
      <w:r>
        <w:instrText xml:space="preserve"> REF _Ref40875641 \r \h </w:instrText>
      </w:r>
      <w:r>
        <w:fldChar w:fldCharType="separate"/>
      </w:r>
      <w:r w:rsidR="00994D49">
        <w:t>4.1</w:t>
      </w:r>
      <w:r>
        <w:fldChar w:fldCharType="end"/>
      </w:r>
      <w:r>
        <w:t>;</w:t>
      </w:r>
    </w:p>
    <w:p w14:paraId="25296697" w14:textId="0504CD99" w:rsidR="00665FEA" w:rsidRDefault="00665FEA" w:rsidP="00665FEA">
      <w:pPr>
        <w:pStyle w:val="Body"/>
        <w:numPr>
          <w:ilvl w:val="0"/>
          <w:numId w:val="38"/>
        </w:numPr>
        <w:spacing w:before="40" w:after="40"/>
      </w:pPr>
      <w:r>
        <w:t>Lab Results: Ontario Laboratories Information System (OLIS): Section</w:t>
      </w:r>
      <w:r w:rsidR="007F7F20">
        <w:t xml:space="preserve"> </w:t>
      </w:r>
      <w:r w:rsidR="007F7F20">
        <w:fldChar w:fldCharType="begin"/>
      </w:r>
      <w:r w:rsidR="007F7F20">
        <w:instrText xml:space="preserve"> REF _Ref41304465 \r \h </w:instrText>
      </w:r>
      <w:r w:rsidR="007F7F20">
        <w:fldChar w:fldCharType="separate"/>
      </w:r>
      <w:r w:rsidR="00994D49">
        <w:t>4.2</w:t>
      </w:r>
      <w:r w:rsidR="007F7F20">
        <w:fldChar w:fldCharType="end"/>
      </w:r>
      <w:r>
        <w:t>;</w:t>
      </w:r>
    </w:p>
    <w:p w14:paraId="099C009D" w14:textId="2F244D36" w:rsidR="00665FEA" w:rsidRDefault="00665FEA" w:rsidP="00665FEA">
      <w:pPr>
        <w:pStyle w:val="Body"/>
        <w:numPr>
          <w:ilvl w:val="0"/>
          <w:numId w:val="38"/>
        </w:numPr>
        <w:spacing w:before="40" w:after="40"/>
      </w:pPr>
      <w:r>
        <w:t xml:space="preserve">Digital Health Drug Repository (DHDR): Section </w:t>
      </w:r>
      <w:r>
        <w:fldChar w:fldCharType="begin"/>
      </w:r>
      <w:r>
        <w:instrText xml:space="preserve"> REF _Ref40875663 \r \h </w:instrText>
      </w:r>
      <w:r>
        <w:fldChar w:fldCharType="separate"/>
      </w:r>
      <w:r w:rsidR="00994D49">
        <w:t>4.3</w:t>
      </w:r>
      <w:r>
        <w:fldChar w:fldCharType="end"/>
      </w:r>
      <w:r>
        <w:t>;</w:t>
      </w:r>
    </w:p>
    <w:p w14:paraId="6E52F42D" w14:textId="4D360614" w:rsidR="00665FEA" w:rsidRDefault="00665FEA" w:rsidP="00665FEA">
      <w:pPr>
        <w:pStyle w:val="Body"/>
        <w:numPr>
          <w:ilvl w:val="0"/>
          <w:numId w:val="38"/>
        </w:numPr>
        <w:spacing w:before="40" w:after="40"/>
      </w:pPr>
      <w:r>
        <w:t xml:space="preserve">Digital Health Immunization Repository (DHIR): Section </w:t>
      </w:r>
      <w:r>
        <w:fldChar w:fldCharType="begin"/>
      </w:r>
      <w:r>
        <w:instrText xml:space="preserve"> REF _Ref40875675 \r \h </w:instrText>
      </w:r>
      <w:r>
        <w:fldChar w:fldCharType="separate"/>
      </w:r>
      <w:r w:rsidR="00994D49">
        <w:t>4.4</w:t>
      </w:r>
      <w:r>
        <w:fldChar w:fldCharType="end"/>
      </w:r>
      <w:r>
        <w:t>;</w:t>
      </w:r>
    </w:p>
    <w:p w14:paraId="350795D2" w14:textId="1EC43905" w:rsidR="00665FEA" w:rsidRDefault="00665FEA" w:rsidP="00665FEA">
      <w:pPr>
        <w:pStyle w:val="Body"/>
        <w:numPr>
          <w:ilvl w:val="0"/>
          <w:numId w:val="38"/>
        </w:numPr>
        <w:spacing w:before="40" w:after="40"/>
      </w:pPr>
      <w:r>
        <w:t xml:space="preserve">Diagnostic Imaging Repository Integration (DI </w:t>
      </w:r>
      <w:r w:rsidR="00C02158">
        <w:t>-</w:t>
      </w:r>
      <w:r>
        <w:t>C</w:t>
      </w:r>
      <w:r w:rsidR="00C02158">
        <w:t>S</w:t>
      </w:r>
      <w:r>
        <w:t xml:space="preserve">): Section </w:t>
      </w:r>
      <w:r>
        <w:fldChar w:fldCharType="begin"/>
      </w:r>
      <w:r>
        <w:instrText xml:space="preserve"> REF _Ref40875688 \r \h </w:instrText>
      </w:r>
      <w:r>
        <w:fldChar w:fldCharType="separate"/>
      </w:r>
      <w:r w:rsidR="00994D49">
        <w:t>4.5</w:t>
      </w:r>
      <w:r>
        <w:fldChar w:fldCharType="end"/>
      </w:r>
      <w:r>
        <w:t>.</w:t>
      </w:r>
    </w:p>
    <w:p w14:paraId="5D69ADF0" w14:textId="4934AF29" w:rsidR="00690901" w:rsidRPr="0049584A" w:rsidRDefault="00690901" w:rsidP="00665FEA">
      <w:pPr>
        <w:pStyle w:val="Body"/>
        <w:spacing w:before="180"/>
      </w:pPr>
      <w:r w:rsidRPr="007A02E2">
        <w:t>This document will be updated regularly to reflect progress and change as Ontario advances towards realizing the EH</w:t>
      </w:r>
      <w:r w:rsidR="0021508F">
        <w:t>R blueprint. A robust standards-</w:t>
      </w:r>
      <w:r w:rsidRPr="007A02E2">
        <w:t xml:space="preserve">governance process ensures that new standards and updates to existing standards are aligned and backwards compatible to the greatest extent possible. To learn more about standards governance visit </w:t>
      </w:r>
      <w:hyperlink r:id="rId33" w:history="1">
        <w:r w:rsidRPr="0049584A">
          <w:rPr>
            <w:rStyle w:val="Hyperlink"/>
          </w:rPr>
          <w:t>eHealth Ontario’s website</w:t>
        </w:r>
      </w:hyperlink>
      <w:r w:rsidR="0049584A" w:rsidRPr="0049584A">
        <w:t>.</w:t>
      </w:r>
    </w:p>
    <w:p w14:paraId="39CFA9FA" w14:textId="41EFEF79" w:rsidR="001E0311" w:rsidRDefault="00E95ABE" w:rsidP="00EC63A2">
      <w:pPr>
        <w:pStyle w:val="Heading2"/>
        <w:spacing w:after="240"/>
      </w:pPr>
      <w:bookmarkStart w:id="26" w:name="_Toc40269749"/>
      <w:bookmarkStart w:id="27" w:name="_Ref40875641"/>
      <w:bookmarkStart w:id="28" w:name="_Toc54610993"/>
      <w:bookmarkEnd w:id="26"/>
      <w:r>
        <w:t>Acute and Community</w:t>
      </w:r>
      <w:r w:rsidR="0021508F">
        <w:t>-</w:t>
      </w:r>
      <w:r>
        <w:t xml:space="preserve">Care </w:t>
      </w:r>
      <w:r w:rsidR="001E0311">
        <w:t>Clinical Data Repository Integration (</w:t>
      </w:r>
      <w:r w:rsidR="003456AD">
        <w:t>ac</w:t>
      </w:r>
      <w:r w:rsidR="001E0311">
        <w:t>CDR)</w:t>
      </w:r>
      <w:bookmarkEnd w:id="27"/>
      <w:bookmarkEnd w:id="28"/>
    </w:p>
    <w:tbl>
      <w:tblPr>
        <w:tblStyle w:val="TableGrid"/>
        <w:tblW w:w="9718" w:type="dxa"/>
        <w:tblLook w:val="04A0" w:firstRow="1" w:lastRow="0" w:firstColumn="1" w:lastColumn="0" w:noHBand="0" w:noVBand="1"/>
      </w:tblPr>
      <w:tblGrid>
        <w:gridCol w:w="4680"/>
        <w:gridCol w:w="5030"/>
        <w:gridCol w:w="8"/>
      </w:tblGrid>
      <w:tr w:rsidR="00393527" w14:paraId="2E766971" w14:textId="77777777" w:rsidTr="228950F6">
        <w:trPr>
          <w:gridAfter w:val="1"/>
          <w:wAfter w:w="8" w:type="dxa"/>
        </w:trPr>
        <w:tc>
          <w:tcPr>
            <w:tcW w:w="4680" w:type="dxa"/>
            <w:vMerge w:val="restart"/>
            <w:tcBorders>
              <w:top w:val="single" w:sz="4" w:space="0" w:color="auto"/>
              <w:left w:val="nil"/>
              <w:bottom w:val="nil"/>
              <w:right w:val="nil"/>
            </w:tcBorders>
            <w:shd w:val="clear" w:color="auto" w:fill="F8F8F8"/>
            <w:tcMar>
              <w:top w:w="0" w:type="dxa"/>
              <w:left w:w="115" w:type="dxa"/>
              <w:bottom w:w="0" w:type="dxa"/>
              <w:right w:w="115" w:type="dxa"/>
            </w:tcMar>
          </w:tcPr>
          <w:p w14:paraId="317AE05F" w14:textId="77777777" w:rsidR="00393527" w:rsidRDefault="00393527" w:rsidP="00EF650F">
            <w:pPr>
              <w:pStyle w:val="TableText"/>
              <w:rPr>
                <w:b/>
                <w:sz w:val="20"/>
                <w:szCs w:val="20"/>
                <w:lang w:val="en-CA" w:eastAsia="en-CA"/>
              </w:rPr>
            </w:pPr>
            <w:r>
              <w:rPr>
                <w:b/>
                <w:sz w:val="20"/>
                <w:szCs w:val="20"/>
                <w:lang w:val="en-CA" w:eastAsia="en-CA"/>
              </w:rPr>
              <w:t>Description</w:t>
            </w:r>
          </w:p>
          <w:p w14:paraId="12E603BE" w14:textId="679812B1" w:rsidR="00017798" w:rsidRDefault="00017798" w:rsidP="00881641">
            <w:pPr>
              <w:pStyle w:val="TableText"/>
              <w:spacing w:after="0"/>
              <w:rPr>
                <w:lang w:val="en-CA" w:eastAsia="en-CA"/>
              </w:rPr>
            </w:pPr>
            <w:r w:rsidRPr="00017798">
              <w:rPr>
                <w:lang w:val="en-CA" w:eastAsia="en-CA"/>
              </w:rPr>
              <w:t>The Acute and Community Care Clinical Data Repository provides access to patient information from hospitals and home and community care organizations across Ontario.</w:t>
            </w:r>
          </w:p>
          <w:p w14:paraId="65F3D5C2" w14:textId="6B1800DD" w:rsidR="00393527" w:rsidRDefault="00393527" w:rsidP="00881641">
            <w:pPr>
              <w:pStyle w:val="TableText"/>
              <w:spacing w:after="0"/>
              <w:rPr>
                <w:b/>
                <w:sz w:val="20"/>
                <w:szCs w:val="20"/>
                <w:lang w:val="en-CA" w:eastAsia="en-CA"/>
              </w:rPr>
            </w:pPr>
            <w:r w:rsidRPr="00594323">
              <w:rPr>
                <w:lang w:val="en-CA" w:eastAsia="en-CA"/>
              </w:rPr>
              <w:t xml:space="preserve">The POS solution will integrate and feed data to the </w:t>
            </w:r>
            <w:r>
              <w:rPr>
                <w:lang w:val="en-CA" w:eastAsia="en-CA"/>
              </w:rPr>
              <w:t xml:space="preserve">Acute and Community Care </w:t>
            </w:r>
            <w:r w:rsidRPr="00594323">
              <w:rPr>
                <w:lang w:val="en-CA" w:eastAsia="en-CA"/>
              </w:rPr>
              <w:t xml:space="preserve">CDR, which </w:t>
            </w:r>
            <w:r>
              <w:rPr>
                <w:lang w:val="en-CA" w:eastAsia="en-CA"/>
              </w:rPr>
              <w:t xml:space="preserve">is </w:t>
            </w:r>
            <w:r w:rsidRPr="00594323">
              <w:rPr>
                <w:lang w:val="en-CA" w:eastAsia="en-CA"/>
              </w:rPr>
              <w:t>accessi</w:t>
            </w:r>
            <w:r>
              <w:rPr>
                <w:lang w:val="en-CA" w:eastAsia="en-CA"/>
              </w:rPr>
              <w:t>ble through the provincial HIAL.</w:t>
            </w:r>
          </w:p>
        </w:tc>
        <w:tc>
          <w:tcPr>
            <w:tcW w:w="5030" w:type="dxa"/>
            <w:tcBorders>
              <w:left w:val="nil"/>
              <w:bottom w:val="nil"/>
              <w:right w:val="nil"/>
            </w:tcBorders>
            <w:shd w:val="clear" w:color="auto" w:fill="F8F8F8"/>
            <w:tcMar>
              <w:top w:w="0" w:type="dxa"/>
              <w:left w:w="115" w:type="dxa"/>
              <w:bottom w:w="0" w:type="dxa"/>
              <w:right w:w="115" w:type="dxa"/>
            </w:tcMar>
          </w:tcPr>
          <w:p w14:paraId="565C5003" w14:textId="77777777" w:rsidR="00393527" w:rsidRDefault="00393527" w:rsidP="00EF650F">
            <w:pPr>
              <w:pStyle w:val="TableText"/>
              <w:rPr>
                <w:lang w:val="en-CA" w:eastAsia="en-CA"/>
              </w:rPr>
            </w:pPr>
          </w:p>
        </w:tc>
      </w:tr>
      <w:tr w:rsidR="00393527" w14:paraId="03B0E3F1" w14:textId="77777777" w:rsidTr="228950F6">
        <w:trPr>
          <w:gridAfter w:val="1"/>
          <w:wAfter w:w="8" w:type="dxa"/>
          <w:trHeight w:val="584"/>
        </w:trPr>
        <w:tc>
          <w:tcPr>
            <w:tcW w:w="4680" w:type="dxa"/>
            <w:vMerge/>
            <w:tcMar>
              <w:top w:w="0" w:type="dxa"/>
              <w:left w:w="115" w:type="dxa"/>
              <w:bottom w:w="0" w:type="dxa"/>
              <w:right w:w="115" w:type="dxa"/>
            </w:tcMar>
          </w:tcPr>
          <w:p w14:paraId="170726F4" w14:textId="7230BCB4" w:rsidR="00393527" w:rsidRDefault="00393527" w:rsidP="00EF650F">
            <w:pPr>
              <w:pStyle w:val="TableText"/>
              <w:rPr>
                <w:b/>
                <w:sz w:val="20"/>
                <w:szCs w:val="20"/>
                <w:lang w:val="en-CA" w:eastAsia="en-CA"/>
              </w:rPr>
            </w:pPr>
          </w:p>
        </w:tc>
        <w:tc>
          <w:tcPr>
            <w:tcW w:w="5030" w:type="dxa"/>
            <w:tcBorders>
              <w:top w:val="nil"/>
              <w:left w:val="nil"/>
              <w:bottom w:val="nil"/>
              <w:right w:val="nil"/>
            </w:tcBorders>
            <w:shd w:val="clear" w:color="auto" w:fill="F8F8F8"/>
            <w:tcMar>
              <w:top w:w="0" w:type="dxa"/>
              <w:left w:w="115" w:type="dxa"/>
              <w:bottom w:w="0" w:type="dxa"/>
              <w:right w:w="115" w:type="dxa"/>
            </w:tcMar>
          </w:tcPr>
          <w:p w14:paraId="086E1F3C" w14:textId="328D40D7" w:rsidR="00393527" w:rsidRDefault="00393527" w:rsidP="00EF650F">
            <w:pPr>
              <w:pStyle w:val="TableText"/>
              <w:rPr>
                <w:lang w:val="en-CA" w:eastAsia="en-CA"/>
              </w:rPr>
            </w:pPr>
            <w:r>
              <w:rPr>
                <w:noProof/>
              </w:rPr>
              <w:drawing>
                <wp:inline distT="0" distB="0" distL="0" distR="0" wp14:anchorId="6FFD4E58" wp14:editId="12999E4B">
                  <wp:extent cx="361950" cy="381000"/>
                  <wp:effectExtent l="0" t="0" r="0" b="0"/>
                  <wp:docPr id="491277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361950" cy="381000"/>
                          </a:xfrm>
                          <a:prstGeom prst="rect">
                            <a:avLst/>
                          </a:prstGeom>
                        </pic:spPr>
                      </pic:pic>
                    </a:graphicData>
                  </a:graphic>
                </wp:inline>
              </w:drawing>
            </w:r>
          </w:p>
        </w:tc>
      </w:tr>
      <w:tr w:rsidR="00393527" w14:paraId="21B469DD" w14:textId="77777777" w:rsidTr="228950F6">
        <w:tc>
          <w:tcPr>
            <w:tcW w:w="9718" w:type="dxa"/>
            <w:gridSpan w:val="3"/>
            <w:tcBorders>
              <w:top w:val="nil"/>
              <w:left w:val="nil"/>
              <w:right w:val="nil"/>
            </w:tcBorders>
            <w:shd w:val="clear" w:color="auto" w:fill="F8F8F8"/>
            <w:tcMar>
              <w:top w:w="0" w:type="dxa"/>
              <w:left w:w="115" w:type="dxa"/>
              <w:bottom w:w="0" w:type="dxa"/>
              <w:right w:w="115" w:type="dxa"/>
            </w:tcMar>
          </w:tcPr>
          <w:p w14:paraId="5A704FDB" w14:textId="084CDEC1" w:rsidR="00393527" w:rsidRDefault="00393527" w:rsidP="001302CB">
            <w:pPr>
              <w:pStyle w:val="TableText"/>
              <w:spacing w:after="120"/>
              <w:rPr>
                <w:b/>
                <w:sz w:val="20"/>
                <w:szCs w:val="20"/>
                <w:lang w:val="en-CA" w:eastAsia="en-CA"/>
              </w:rPr>
            </w:pPr>
            <w:r w:rsidRPr="003F5431">
              <w:rPr>
                <w:lang w:val="en-CA" w:eastAsia="en-CA"/>
              </w:rPr>
              <w:t>This integration can occur through conformance to the following specification:</w:t>
            </w:r>
            <w:r>
              <w:rPr>
                <w:lang w:val="en-CA" w:eastAsia="en-CA"/>
              </w:rPr>
              <w:t xml:space="preserve"> </w:t>
            </w:r>
            <w:hyperlink r:id="rId35" w:history="1">
              <w:r w:rsidRPr="00CA1E68">
                <w:rPr>
                  <w:rStyle w:val="Hyperlink"/>
                </w:rPr>
                <w:t xml:space="preserve">Acute and Community </w:t>
              </w:r>
              <w:r>
                <w:rPr>
                  <w:rStyle w:val="Hyperlink"/>
                </w:rPr>
                <w:t xml:space="preserve">Care </w:t>
              </w:r>
              <w:r w:rsidRPr="00CA1E68">
                <w:rPr>
                  <w:rStyle w:val="Hyperlink"/>
                </w:rPr>
                <w:t>CDR Input Standard</w:t>
              </w:r>
            </w:hyperlink>
            <w:r w:rsidR="00513667">
              <w:rPr>
                <w:rStyle w:val="Hyperlink"/>
              </w:rPr>
              <w:t>.</w:t>
            </w:r>
          </w:p>
        </w:tc>
      </w:tr>
      <w:tr w:rsidR="005541EF" w14:paraId="70008656" w14:textId="6EE13197" w:rsidTr="228950F6">
        <w:trPr>
          <w:gridAfter w:val="1"/>
          <w:wAfter w:w="8" w:type="dxa"/>
        </w:trPr>
        <w:tc>
          <w:tcPr>
            <w:tcW w:w="9710" w:type="dxa"/>
            <w:gridSpan w:val="2"/>
            <w:tcBorders>
              <w:left w:val="nil"/>
              <w:bottom w:val="single" w:sz="4" w:space="0" w:color="auto"/>
              <w:right w:val="nil"/>
            </w:tcBorders>
            <w:tcMar>
              <w:top w:w="58" w:type="dxa"/>
              <w:left w:w="115" w:type="dxa"/>
              <w:bottom w:w="58" w:type="dxa"/>
              <w:right w:w="115" w:type="dxa"/>
            </w:tcMar>
          </w:tcPr>
          <w:p w14:paraId="11822FBE" w14:textId="0EC9CAA4" w:rsidR="005541EF" w:rsidRPr="00F43D42" w:rsidRDefault="00B051A5" w:rsidP="00EF650F">
            <w:pPr>
              <w:pStyle w:val="TableText"/>
              <w:rPr>
                <w:b/>
                <w:sz w:val="20"/>
                <w:szCs w:val="20"/>
                <w:lang w:val="en-CA" w:eastAsia="en-CA"/>
              </w:rPr>
            </w:pPr>
            <w:r>
              <w:rPr>
                <w:b/>
                <w:sz w:val="20"/>
                <w:szCs w:val="20"/>
                <w:lang w:val="en-CA" w:eastAsia="en-CA"/>
              </w:rPr>
              <w:t xml:space="preserve">Expected Response </w:t>
            </w:r>
            <w:r w:rsidR="00936A5A">
              <w:rPr>
                <w:b/>
                <w:sz w:val="20"/>
                <w:szCs w:val="20"/>
                <w:lang w:val="en-CA" w:eastAsia="en-CA"/>
              </w:rPr>
              <w:t>f</w:t>
            </w:r>
            <w:r w:rsidR="005541EF" w:rsidRPr="00F43D42">
              <w:rPr>
                <w:b/>
                <w:sz w:val="20"/>
                <w:szCs w:val="20"/>
                <w:lang w:val="en-CA" w:eastAsia="en-CA"/>
              </w:rPr>
              <w:t>rom Vendor</w:t>
            </w:r>
          </w:p>
          <w:p w14:paraId="50387301" w14:textId="554230B0" w:rsidR="005541EF" w:rsidRPr="00F43D42" w:rsidRDefault="005541EF" w:rsidP="00410D4F">
            <w:pPr>
              <w:pStyle w:val="TableText"/>
              <w:rPr>
                <w:b/>
                <w:sz w:val="20"/>
                <w:szCs w:val="20"/>
                <w:lang w:val="en-CA" w:eastAsia="en-CA"/>
              </w:rPr>
            </w:pPr>
            <w:r w:rsidRPr="00594323">
              <w:rPr>
                <w:lang w:val="en-CA" w:eastAsia="en-CA"/>
              </w:rPr>
              <w:t xml:space="preserve">Preference will be given to responses that demonstrate previous experience implementing integration with </w:t>
            </w:r>
            <w:r w:rsidR="007A3E39">
              <w:rPr>
                <w:lang w:val="en-CA" w:eastAsia="en-CA"/>
              </w:rPr>
              <w:t xml:space="preserve">the acCDR or </w:t>
            </w:r>
            <w:r w:rsidRPr="00594323">
              <w:rPr>
                <w:lang w:val="en-CA" w:eastAsia="en-CA"/>
              </w:rPr>
              <w:t>other external clinical data repositories.</w:t>
            </w:r>
          </w:p>
        </w:tc>
      </w:tr>
      <w:tr w:rsidR="005541EF" w14:paraId="21013757" w14:textId="2F93312B" w:rsidTr="228950F6">
        <w:trPr>
          <w:gridAfter w:val="1"/>
          <w:wAfter w:w="8" w:type="dxa"/>
        </w:trPr>
        <w:tc>
          <w:tcPr>
            <w:tcW w:w="9710" w:type="dxa"/>
            <w:gridSpan w:val="2"/>
            <w:tcBorders>
              <w:left w:val="nil"/>
              <w:right w:val="nil"/>
            </w:tcBorders>
            <w:shd w:val="clear" w:color="auto" w:fill="F8F8F8"/>
            <w:tcMar>
              <w:top w:w="58" w:type="dxa"/>
              <w:left w:w="115" w:type="dxa"/>
              <w:bottom w:w="58" w:type="dxa"/>
              <w:right w:w="115" w:type="dxa"/>
            </w:tcMar>
          </w:tcPr>
          <w:p w14:paraId="2CDA5069" w14:textId="77777777" w:rsidR="005541EF" w:rsidRPr="00F43D42" w:rsidRDefault="005541EF" w:rsidP="00EF650F">
            <w:pPr>
              <w:pStyle w:val="TableText"/>
              <w:rPr>
                <w:b/>
                <w:sz w:val="20"/>
                <w:szCs w:val="20"/>
                <w:lang w:val="en-CA" w:eastAsia="en-CA"/>
              </w:rPr>
            </w:pPr>
            <w:r w:rsidRPr="00F43D42">
              <w:rPr>
                <w:b/>
                <w:sz w:val="20"/>
                <w:szCs w:val="20"/>
                <w:lang w:val="en-CA" w:eastAsia="en-CA"/>
              </w:rPr>
              <w:t>Rationale</w:t>
            </w:r>
          </w:p>
          <w:p w14:paraId="5299EBF4" w14:textId="0526E5E8" w:rsidR="005541EF" w:rsidRDefault="00796955" w:rsidP="00EF650F">
            <w:pPr>
              <w:pStyle w:val="TableText"/>
              <w:rPr>
                <w:lang w:val="en-CA" w:eastAsia="en-CA"/>
              </w:rPr>
            </w:pPr>
            <w:r w:rsidRPr="00796955">
              <w:rPr>
                <w:lang w:val="en-CA" w:eastAsia="en-CA"/>
              </w:rPr>
              <w:t>The Acute and Community Care Clinical Data Repository provides access to patient information from hospitals and home and community care organizations across Ontario. It includes information about patients’ hospital visits, emergency room reports, consultation reports and discharge summaries as well as long-term placement details, client ri</w:t>
            </w:r>
            <w:r>
              <w:rPr>
                <w:lang w:val="en-CA" w:eastAsia="en-CA"/>
              </w:rPr>
              <w:t xml:space="preserve">sks, assessments and care plans. It </w:t>
            </w:r>
            <w:r w:rsidRPr="00796955">
              <w:rPr>
                <w:lang w:val="en-CA" w:eastAsia="en-CA"/>
              </w:rPr>
              <w:t>helps providers make better informed, faster decisions when treating their patients</w:t>
            </w:r>
            <w:r>
              <w:rPr>
                <w:lang w:val="en-CA" w:eastAsia="en-CA"/>
              </w:rPr>
              <w:t xml:space="preserve"> with the following benefits: </w:t>
            </w:r>
          </w:p>
          <w:p w14:paraId="2B8F1268" w14:textId="697EDD86" w:rsidR="00796955" w:rsidRDefault="00796955" w:rsidP="000923BD">
            <w:pPr>
              <w:pStyle w:val="TableText"/>
              <w:numPr>
                <w:ilvl w:val="0"/>
                <w:numId w:val="43"/>
              </w:numPr>
              <w:rPr>
                <w:lang w:val="en-CA" w:eastAsia="en-CA"/>
              </w:rPr>
            </w:pPr>
            <w:r w:rsidRPr="00796955">
              <w:rPr>
                <w:lang w:val="en-CA" w:eastAsia="en-CA"/>
              </w:rPr>
              <w:t>Improves efficiency of clinical decision-making with access to relevant and reliable patient data from multiple sources across the continuum of care</w:t>
            </w:r>
            <w:r>
              <w:rPr>
                <w:lang w:val="en-CA" w:eastAsia="en-CA"/>
              </w:rPr>
              <w:t>;</w:t>
            </w:r>
          </w:p>
          <w:p w14:paraId="521C4AA8" w14:textId="77777777" w:rsidR="00796955" w:rsidRDefault="00796955" w:rsidP="000923BD">
            <w:pPr>
              <w:pStyle w:val="TableText"/>
              <w:numPr>
                <w:ilvl w:val="0"/>
                <w:numId w:val="43"/>
              </w:numPr>
              <w:rPr>
                <w:lang w:val="en-CA" w:eastAsia="en-CA"/>
              </w:rPr>
            </w:pPr>
            <w:r w:rsidRPr="00796955">
              <w:rPr>
                <w:lang w:val="en-CA" w:eastAsia="en-CA"/>
              </w:rPr>
              <w:t>Enables the ability to track and monitor patient health outcomes with access to a patient’s complete medical history as well as their current health information</w:t>
            </w:r>
            <w:r>
              <w:rPr>
                <w:lang w:val="en-CA" w:eastAsia="en-CA"/>
              </w:rPr>
              <w:t>;</w:t>
            </w:r>
          </w:p>
          <w:p w14:paraId="795173B7" w14:textId="77777777" w:rsidR="00796955" w:rsidRDefault="00796955" w:rsidP="000923BD">
            <w:pPr>
              <w:pStyle w:val="TableText"/>
              <w:numPr>
                <w:ilvl w:val="0"/>
                <w:numId w:val="43"/>
              </w:numPr>
              <w:rPr>
                <w:lang w:val="en-CA" w:eastAsia="en-CA"/>
              </w:rPr>
            </w:pPr>
            <w:r w:rsidRPr="00796955">
              <w:rPr>
                <w:lang w:val="en-CA" w:eastAsia="en-CA"/>
              </w:rPr>
              <w:t>Improves workflow and reduces dependency on paper-based systems</w:t>
            </w:r>
            <w:r>
              <w:rPr>
                <w:lang w:val="en-CA" w:eastAsia="en-CA"/>
              </w:rPr>
              <w:t>;</w:t>
            </w:r>
          </w:p>
          <w:p w14:paraId="3CD20880" w14:textId="48F5A42B" w:rsidR="005541EF" w:rsidRPr="00590206" w:rsidRDefault="00796955" w:rsidP="000923BD">
            <w:pPr>
              <w:pStyle w:val="TableText"/>
              <w:numPr>
                <w:ilvl w:val="0"/>
                <w:numId w:val="43"/>
              </w:numPr>
              <w:rPr>
                <w:b/>
                <w:sz w:val="20"/>
                <w:szCs w:val="20"/>
                <w:lang w:val="en-CA" w:eastAsia="en-CA"/>
              </w:rPr>
            </w:pPr>
            <w:r w:rsidRPr="00796955">
              <w:rPr>
                <w:lang w:val="en-CA" w:eastAsia="en-CA"/>
              </w:rPr>
              <w:t>Supports transfer of accurate information as a patient moves between providers and care settings</w:t>
            </w:r>
            <w:r>
              <w:rPr>
                <w:lang w:val="en-CA" w:eastAsia="en-CA"/>
              </w:rPr>
              <w:t>.</w:t>
            </w:r>
          </w:p>
        </w:tc>
      </w:tr>
    </w:tbl>
    <w:p w14:paraId="3B190968" w14:textId="0005F4B4" w:rsidR="007C07A8" w:rsidRPr="0085679B" w:rsidRDefault="00377146" w:rsidP="00732B8D">
      <w:pPr>
        <w:pStyle w:val="Heading2"/>
        <w:spacing w:before="480" w:after="240"/>
      </w:pPr>
      <w:bookmarkStart w:id="29" w:name="_Toc50638343"/>
      <w:bookmarkStart w:id="30" w:name="_Toc50640404"/>
      <w:bookmarkStart w:id="31" w:name="_Ref40875648"/>
      <w:bookmarkStart w:id="32" w:name="_Ref41304465"/>
      <w:bookmarkStart w:id="33" w:name="_Toc54610994"/>
      <w:bookmarkEnd w:id="29"/>
      <w:bookmarkEnd w:id="30"/>
      <w:r>
        <w:t xml:space="preserve">Lab Results – Ontario </w:t>
      </w:r>
      <w:r w:rsidR="003456AD">
        <w:t xml:space="preserve">Laboratories </w:t>
      </w:r>
      <w:r>
        <w:t>Information System (OLIS)</w:t>
      </w:r>
      <w:bookmarkEnd w:id="31"/>
      <w:bookmarkEnd w:id="32"/>
      <w:bookmarkEnd w:id="33"/>
    </w:p>
    <w:tbl>
      <w:tblPr>
        <w:tblStyle w:val="TableGrid"/>
        <w:tblW w:w="0" w:type="auto"/>
        <w:tblLook w:val="04A0" w:firstRow="1" w:lastRow="0" w:firstColumn="1" w:lastColumn="0" w:noHBand="0" w:noVBand="1"/>
      </w:tblPr>
      <w:tblGrid>
        <w:gridCol w:w="4680"/>
        <w:gridCol w:w="4680"/>
      </w:tblGrid>
      <w:tr w:rsidR="00704956" w14:paraId="0AA5ED20" w14:textId="77777777" w:rsidTr="228950F6">
        <w:tc>
          <w:tcPr>
            <w:tcW w:w="4680" w:type="dxa"/>
            <w:vMerge w:val="restart"/>
            <w:tcBorders>
              <w:top w:val="single" w:sz="4" w:space="0" w:color="auto"/>
              <w:left w:val="nil"/>
              <w:bottom w:val="nil"/>
              <w:right w:val="nil"/>
            </w:tcBorders>
            <w:shd w:val="clear" w:color="auto" w:fill="F8F8F8"/>
            <w:tcMar>
              <w:top w:w="58" w:type="dxa"/>
              <w:left w:w="115" w:type="dxa"/>
              <w:bottom w:w="0" w:type="dxa"/>
              <w:right w:w="115" w:type="dxa"/>
            </w:tcMar>
          </w:tcPr>
          <w:p w14:paraId="7CAF78F8" w14:textId="77777777" w:rsidR="00704956" w:rsidRPr="006F4FB8" w:rsidRDefault="00704956" w:rsidP="00A866BA">
            <w:pPr>
              <w:pStyle w:val="TableText"/>
              <w:spacing w:before="60" w:after="60"/>
              <w:rPr>
                <w:b/>
                <w:sz w:val="20"/>
                <w:szCs w:val="20"/>
                <w:lang w:val="en-CA" w:eastAsia="en-CA"/>
              </w:rPr>
            </w:pPr>
            <w:r>
              <w:rPr>
                <w:b/>
                <w:sz w:val="20"/>
                <w:szCs w:val="20"/>
                <w:lang w:val="en-CA" w:eastAsia="en-CA"/>
              </w:rPr>
              <w:t>Description</w:t>
            </w:r>
          </w:p>
          <w:p w14:paraId="1E4ED29E" w14:textId="1DCAA13A" w:rsidR="00704956" w:rsidRPr="006F4FB8" w:rsidRDefault="00704956" w:rsidP="00A866BA">
            <w:pPr>
              <w:pStyle w:val="TableText"/>
              <w:spacing w:before="0" w:after="0"/>
              <w:rPr>
                <w:b/>
                <w:sz w:val="20"/>
                <w:szCs w:val="20"/>
                <w:lang w:val="en-CA" w:eastAsia="en-CA"/>
              </w:rPr>
            </w:pPr>
            <w:r w:rsidRPr="00DE5131">
              <w:rPr>
                <w:lang w:val="en-CA" w:eastAsia="en-CA"/>
              </w:rPr>
              <w:t>The POS solution will be able to exchange lab orders, lab referrals and lab results with OLIS. Access to these services will be through the provincial HIAL.</w:t>
            </w:r>
          </w:p>
        </w:tc>
        <w:tc>
          <w:tcPr>
            <w:tcW w:w="4680" w:type="dxa"/>
            <w:tcBorders>
              <w:left w:val="nil"/>
              <w:bottom w:val="nil"/>
              <w:right w:val="nil"/>
            </w:tcBorders>
            <w:shd w:val="clear" w:color="auto" w:fill="F8F8F8"/>
          </w:tcPr>
          <w:p w14:paraId="50F2B8BC" w14:textId="77777777" w:rsidR="00704956" w:rsidRDefault="00704956" w:rsidP="00A866BA">
            <w:pPr>
              <w:pStyle w:val="TableText"/>
              <w:spacing w:before="0" w:after="0"/>
              <w:rPr>
                <w:b/>
                <w:sz w:val="20"/>
                <w:szCs w:val="20"/>
                <w:lang w:val="en-CA" w:eastAsia="en-CA"/>
              </w:rPr>
            </w:pPr>
          </w:p>
        </w:tc>
      </w:tr>
      <w:tr w:rsidR="00704956" w14:paraId="2F7DCBA5" w14:textId="77777777" w:rsidTr="228950F6">
        <w:trPr>
          <w:trHeight w:val="526"/>
        </w:trPr>
        <w:tc>
          <w:tcPr>
            <w:tcW w:w="4680" w:type="dxa"/>
            <w:vMerge/>
            <w:tcMar>
              <w:top w:w="58" w:type="dxa"/>
              <w:left w:w="115" w:type="dxa"/>
              <w:bottom w:w="58" w:type="dxa"/>
              <w:right w:w="115" w:type="dxa"/>
            </w:tcMar>
          </w:tcPr>
          <w:p w14:paraId="2896811C" w14:textId="48C11E65" w:rsidR="00704956" w:rsidRPr="008625EF" w:rsidRDefault="00704956" w:rsidP="00A866BA">
            <w:pPr>
              <w:pStyle w:val="TableText"/>
              <w:spacing w:before="0" w:after="0"/>
              <w:rPr>
                <w:lang w:val="en-CA" w:eastAsia="en-CA"/>
              </w:rPr>
            </w:pPr>
          </w:p>
        </w:tc>
        <w:tc>
          <w:tcPr>
            <w:tcW w:w="4680" w:type="dxa"/>
            <w:tcBorders>
              <w:top w:val="nil"/>
              <w:left w:val="nil"/>
              <w:bottom w:val="nil"/>
              <w:right w:val="nil"/>
            </w:tcBorders>
            <w:shd w:val="clear" w:color="auto" w:fill="F8F8F8"/>
          </w:tcPr>
          <w:p w14:paraId="30E3D562" w14:textId="04FE7FDB" w:rsidR="00704956" w:rsidRDefault="00704956" w:rsidP="228950F6">
            <w:pPr>
              <w:pStyle w:val="TableText"/>
              <w:spacing w:before="0" w:after="0"/>
              <w:rPr>
                <w:b/>
                <w:bCs/>
                <w:sz w:val="20"/>
                <w:szCs w:val="20"/>
                <w:lang w:val="en-CA" w:eastAsia="en-CA"/>
              </w:rPr>
            </w:pPr>
            <w:r>
              <w:rPr>
                <w:noProof/>
              </w:rPr>
              <w:drawing>
                <wp:inline distT="0" distB="0" distL="0" distR="0" wp14:anchorId="5F3A81FA" wp14:editId="419620D0">
                  <wp:extent cx="333375" cy="374650"/>
                  <wp:effectExtent l="0" t="0" r="9525" b="635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6">
                            <a:extLst>
                              <a:ext uri="{28A0092B-C50C-407E-A947-70E740481C1C}">
                                <a14:useLocalDpi xmlns:a14="http://schemas.microsoft.com/office/drawing/2010/main" val="0"/>
                              </a:ext>
                            </a:extLst>
                          </a:blip>
                          <a:srcRect r="-1727" b="-980"/>
                          <a:stretch>
                            <a:fillRect/>
                          </a:stretch>
                        </pic:blipFill>
                        <pic:spPr>
                          <a:xfrm>
                            <a:off x="0" y="0"/>
                            <a:ext cx="333375" cy="374650"/>
                          </a:xfrm>
                          <a:prstGeom prst="rect">
                            <a:avLst/>
                          </a:prstGeom>
                        </pic:spPr>
                      </pic:pic>
                    </a:graphicData>
                  </a:graphic>
                </wp:inline>
              </w:drawing>
            </w:r>
          </w:p>
        </w:tc>
      </w:tr>
      <w:tr w:rsidR="008625EF" w14:paraId="643B7118" w14:textId="77777777" w:rsidTr="228950F6">
        <w:tc>
          <w:tcPr>
            <w:tcW w:w="9360" w:type="dxa"/>
            <w:gridSpan w:val="2"/>
            <w:tcBorders>
              <w:top w:val="nil"/>
              <w:left w:val="nil"/>
              <w:right w:val="nil"/>
            </w:tcBorders>
            <w:shd w:val="clear" w:color="auto" w:fill="F8F8F8"/>
            <w:tcMar>
              <w:top w:w="0" w:type="dxa"/>
              <w:left w:w="115" w:type="dxa"/>
              <w:bottom w:w="58" w:type="dxa"/>
              <w:right w:w="115" w:type="dxa"/>
            </w:tcMar>
          </w:tcPr>
          <w:p w14:paraId="1E804CD7" w14:textId="77777777" w:rsidR="00EB6184" w:rsidRDefault="008625EF" w:rsidP="00A866BA">
            <w:pPr>
              <w:pStyle w:val="TableText"/>
              <w:spacing w:before="0" w:after="0"/>
              <w:rPr>
                <w:lang w:val="en-CA" w:eastAsia="en-CA"/>
              </w:rPr>
            </w:pPr>
            <w:r w:rsidRPr="003F5431">
              <w:rPr>
                <w:lang w:val="en-CA" w:eastAsia="en-CA"/>
              </w:rPr>
              <w:t>This integration can occur through conformance</w:t>
            </w:r>
            <w:r>
              <w:rPr>
                <w:lang w:val="en-CA" w:eastAsia="en-CA"/>
              </w:rPr>
              <w:t xml:space="preserve"> to the following specification</w:t>
            </w:r>
            <w:r w:rsidR="00EB6184">
              <w:rPr>
                <w:lang w:val="en-CA" w:eastAsia="en-CA"/>
              </w:rPr>
              <w:t>s</w:t>
            </w:r>
            <w:r w:rsidRPr="003F5431">
              <w:rPr>
                <w:lang w:val="en-CA" w:eastAsia="en-CA"/>
              </w:rPr>
              <w:t>:</w:t>
            </w:r>
            <w:r>
              <w:rPr>
                <w:lang w:val="en-CA" w:eastAsia="en-CA"/>
              </w:rPr>
              <w:t xml:space="preserve"> </w:t>
            </w:r>
          </w:p>
          <w:p w14:paraId="0F0FFBAA" w14:textId="36BD0A24" w:rsidR="00EB6184" w:rsidRPr="00CC09BF" w:rsidRDefault="00D92A6E" w:rsidP="00CC09BF">
            <w:pPr>
              <w:pStyle w:val="TableText"/>
              <w:numPr>
                <w:ilvl w:val="0"/>
                <w:numId w:val="47"/>
              </w:numPr>
              <w:spacing w:before="0" w:after="0"/>
              <w:rPr>
                <w:rStyle w:val="Hyperlink"/>
                <w:color w:val="auto"/>
                <w:sz w:val="20"/>
                <w:szCs w:val="20"/>
                <w:u w:val="none"/>
                <w:lang w:val="en-CA" w:eastAsia="en-CA"/>
              </w:rPr>
            </w:pPr>
            <w:hyperlink r:id="rId37" w:history="1">
              <w:r w:rsidR="008625EF" w:rsidRPr="00C61335">
                <w:rPr>
                  <w:rStyle w:val="Hyperlink"/>
                  <w:lang w:val="en-CA" w:eastAsia="en-CA"/>
                </w:rPr>
                <w:t>Ontario Laboratories Information System (OLIS) Standard</w:t>
              </w:r>
            </w:hyperlink>
            <w:r w:rsidR="008565C6">
              <w:rPr>
                <w:rStyle w:val="Hyperlink"/>
                <w:lang w:val="en-CA" w:eastAsia="en-CA"/>
              </w:rPr>
              <w:t>;</w:t>
            </w:r>
          </w:p>
          <w:p w14:paraId="2394BA9F" w14:textId="261DD7CC" w:rsidR="00EB6184" w:rsidRPr="00CC09BF" w:rsidRDefault="00D92A6E" w:rsidP="00CC09BF">
            <w:pPr>
              <w:pStyle w:val="TableText"/>
              <w:numPr>
                <w:ilvl w:val="0"/>
                <w:numId w:val="47"/>
              </w:numPr>
              <w:spacing w:before="0" w:after="0"/>
              <w:rPr>
                <w:rStyle w:val="Hyperlink"/>
                <w:color w:val="auto"/>
                <w:sz w:val="20"/>
                <w:szCs w:val="20"/>
                <w:u w:val="none"/>
                <w:lang w:val="en-CA" w:eastAsia="en-CA"/>
              </w:rPr>
            </w:pPr>
            <w:hyperlink r:id="rId38" w:history="1">
              <w:r w:rsidR="00EB6184" w:rsidRPr="00EB6184">
                <w:rPr>
                  <w:rStyle w:val="Hyperlink"/>
                  <w:lang w:val="en-CA" w:eastAsia="en-CA"/>
                </w:rPr>
                <w:t>OLIS HL7 FHIR® Implementation Guide Provider Query</w:t>
              </w:r>
            </w:hyperlink>
            <w:r w:rsidR="008565C6">
              <w:rPr>
                <w:rStyle w:val="Hyperlink"/>
                <w:lang w:val="en-CA" w:eastAsia="en-CA"/>
              </w:rPr>
              <w:t>;</w:t>
            </w:r>
          </w:p>
          <w:p w14:paraId="4AB6DCA5" w14:textId="74327B4F" w:rsidR="008625EF" w:rsidRPr="006F4FB8" w:rsidRDefault="00D92A6E" w:rsidP="00CC09BF">
            <w:pPr>
              <w:pStyle w:val="TableText"/>
              <w:numPr>
                <w:ilvl w:val="0"/>
                <w:numId w:val="47"/>
              </w:numPr>
              <w:spacing w:before="0" w:after="0"/>
              <w:rPr>
                <w:sz w:val="20"/>
                <w:szCs w:val="20"/>
                <w:lang w:val="en-CA" w:eastAsia="en-CA"/>
              </w:rPr>
            </w:pPr>
            <w:hyperlink r:id="rId39" w:history="1">
              <w:r w:rsidR="00EB6184" w:rsidRPr="00EB6184">
                <w:rPr>
                  <w:rStyle w:val="Hyperlink"/>
                  <w:lang w:val="en-CA" w:eastAsia="en-CA"/>
                </w:rPr>
                <w:t>OLIS HL7 FHIR® Implementation Guide Consumer Query</w:t>
              </w:r>
            </w:hyperlink>
            <w:r w:rsidR="008565C6">
              <w:rPr>
                <w:rStyle w:val="Hyperlink"/>
                <w:lang w:val="en-CA" w:eastAsia="en-CA"/>
              </w:rPr>
              <w:t>.</w:t>
            </w:r>
          </w:p>
        </w:tc>
      </w:tr>
      <w:tr w:rsidR="00704956" w14:paraId="6AA818E2" w14:textId="5B8BC2ED" w:rsidTr="228950F6">
        <w:tc>
          <w:tcPr>
            <w:tcW w:w="9360" w:type="dxa"/>
            <w:gridSpan w:val="2"/>
            <w:tcBorders>
              <w:left w:val="nil"/>
              <w:right w:val="nil"/>
            </w:tcBorders>
            <w:tcMar>
              <w:top w:w="58" w:type="dxa"/>
              <w:left w:w="115" w:type="dxa"/>
              <w:bottom w:w="58" w:type="dxa"/>
              <w:right w:w="115" w:type="dxa"/>
            </w:tcMar>
          </w:tcPr>
          <w:p w14:paraId="49CFCC3E" w14:textId="66588FA5" w:rsidR="00704956" w:rsidRPr="006F4FB8" w:rsidRDefault="00704956" w:rsidP="00C61335">
            <w:pPr>
              <w:pStyle w:val="TableText"/>
              <w:rPr>
                <w:sz w:val="20"/>
                <w:szCs w:val="20"/>
                <w:lang w:val="en-CA" w:eastAsia="en-CA"/>
              </w:rPr>
            </w:pPr>
            <w:r w:rsidRPr="006F4FB8">
              <w:rPr>
                <w:b/>
                <w:bCs/>
                <w:sz w:val="20"/>
                <w:szCs w:val="20"/>
                <w:lang w:val="en-CA" w:eastAsia="en-CA"/>
              </w:rPr>
              <w:t xml:space="preserve">Expected Response </w:t>
            </w:r>
            <w:r w:rsidR="008565C6">
              <w:rPr>
                <w:b/>
                <w:bCs/>
                <w:sz w:val="20"/>
                <w:szCs w:val="20"/>
                <w:lang w:val="en-CA" w:eastAsia="en-CA"/>
              </w:rPr>
              <w:t>f</w:t>
            </w:r>
            <w:r w:rsidRPr="006F4FB8">
              <w:rPr>
                <w:b/>
                <w:bCs/>
                <w:sz w:val="20"/>
                <w:szCs w:val="20"/>
                <w:lang w:val="en-CA" w:eastAsia="en-CA"/>
              </w:rPr>
              <w:t>rom Vendor</w:t>
            </w:r>
          </w:p>
          <w:p w14:paraId="1BC1ED25" w14:textId="1A8E7815" w:rsidR="00704956" w:rsidRPr="006F4FB8" w:rsidRDefault="00704956" w:rsidP="00410D4F">
            <w:pPr>
              <w:pStyle w:val="TableText"/>
              <w:rPr>
                <w:sz w:val="20"/>
                <w:szCs w:val="20"/>
                <w:lang w:val="en-CA" w:eastAsia="en-CA"/>
              </w:rPr>
            </w:pPr>
            <w:r w:rsidRPr="00DE5131">
              <w:rPr>
                <w:lang w:val="en-CA" w:eastAsia="en-CA"/>
              </w:rPr>
              <w:t>Preference will be given to responses that demonstrate previous experience integrating with OLIS in other deployments. Experience with the Pan-Canadian Laboratory Messaging and Nomenclature (pCLMN) specification would also be valuable.</w:t>
            </w:r>
          </w:p>
        </w:tc>
      </w:tr>
      <w:tr w:rsidR="00704956" w14:paraId="50302430" w14:textId="31D69CAC" w:rsidTr="228950F6">
        <w:trPr>
          <w:cantSplit/>
        </w:trPr>
        <w:tc>
          <w:tcPr>
            <w:tcW w:w="9360" w:type="dxa"/>
            <w:gridSpan w:val="2"/>
            <w:tcBorders>
              <w:left w:val="nil"/>
              <w:right w:val="nil"/>
            </w:tcBorders>
            <w:shd w:val="clear" w:color="auto" w:fill="F8F8F8"/>
            <w:tcMar>
              <w:top w:w="58" w:type="dxa"/>
              <w:left w:w="115" w:type="dxa"/>
              <w:bottom w:w="58" w:type="dxa"/>
              <w:right w:w="115" w:type="dxa"/>
            </w:tcMar>
          </w:tcPr>
          <w:p w14:paraId="1FE3EE2E" w14:textId="77777777" w:rsidR="00704956" w:rsidRPr="00704956" w:rsidRDefault="00704956" w:rsidP="00DE5131">
            <w:pPr>
              <w:pStyle w:val="TableText"/>
              <w:rPr>
                <w:b/>
                <w:bCs/>
                <w:sz w:val="20"/>
                <w:szCs w:val="20"/>
                <w:lang w:val="en-CA" w:eastAsia="en-CA"/>
              </w:rPr>
            </w:pPr>
            <w:r w:rsidRPr="00704956">
              <w:rPr>
                <w:b/>
                <w:bCs/>
                <w:sz w:val="20"/>
                <w:szCs w:val="20"/>
                <w:lang w:val="en-CA" w:eastAsia="en-CA"/>
              </w:rPr>
              <w:t>Rationale</w:t>
            </w:r>
          </w:p>
          <w:p w14:paraId="0635141C" w14:textId="4256C5DC" w:rsidR="00704956" w:rsidRPr="00DE5131" w:rsidRDefault="00704956" w:rsidP="00DE5131">
            <w:pPr>
              <w:pStyle w:val="TableText"/>
              <w:rPr>
                <w:lang w:val="en-CA" w:eastAsia="en-CA"/>
              </w:rPr>
            </w:pPr>
            <w:r w:rsidRPr="00DE5131">
              <w:rPr>
                <w:lang w:val="en-CA" w:eastAsia="en-CA"/>
              </w:rPr>
              <w:t>The Ontario Lab</w:t>
            </w:r>
            <w:r>
              <w:rPr>
                <w:lang w:val="en-CA" w:eastAsia="en-CA"/>
              </w:rPr>
              <w:t>oratories</w:t>
            </w:r>
            <w:r w:rsidRPr="00DE5131">
              <w:rPr>
                <w:lang w:val="en-CA" w:eastAsia="en-CA"/>
              </w:rPr>
              <w:t xml:space="preserve"> Information System (OLIS) is a single provincial domain repository that allows all Ontario laboratory test</w:t>
            </w:r>
            <w:r w:rsidR="00C02158">
              <w:rPr>
                <w:lang w:val="en-CA" w:eastAsia="en-CA"/>
              </w:rPr>
              <w:t xml:space="preserve"> </w:t>
            </w:r>
            <w:r w:rsidRPr="00DE5131">
              <w:rPr>
                <w:lang w:val="en-CA" w:eastAsia="en-CA"/>
              </w:rPr>
              <w:t>order and result information to be exchanged electronically and securely between authorized practitioners and laboratory service providers. It also provides the Ministry of Health with de-identified program</w:t>
            </w:r>
            <w:r>
              <w:rPr>
                <w:lang w:val="en-CA" w:eastAsia="en-CA"/>
              </w:rPr>
              <w:t>-</w:t>
            </w:r>
            <w:r w:rsidRPr="00DE5131">
              <w:rPr>
                <w:lang w:val="en-CA" w:eastAsia="en-CA"/>
              </w:rPr>
              <w:t>management information.</w:t>
            </w:r>
          </w:p>
          <w:p w14:paraId="11453F24" w14:textId="5E68C28E" w:rsidR="00704956" w:rsidRPr="006F4FB8" w:rsidRDefault="00704956" w:rsidP="00DE5131">
            <w:pPr>
              <w:pStyle w:val="TableText"/>
              <w:rPr>
                <w:b/>
                <w:bCs/>
                <w:lang w:val="en-CA" w:eastAsia="en-CA"/>
              </w:rPr>
            </w:pPr>
            <w:r w:rsidRPr="00DE5131">
              <w:rPr>
                <w:lang w:val="en-CA" w:eastAsia="en-CA"/>
              </w:rPr>
              <w:t>The repository is responsible for managing and storing all laboratory test orders and reports, providing access that can be retrieved by POS systems. Data is currently transmitted to OLIS when lab technicians submit lab test results. In future, data will also be transmitted to OLIS when providers order lab tests.</w:t>
            </w:r>
          </w:p>
        </w:tc>
      </w:tr>
    </w:tbl>
    <w:p w14:paraId="77432161" w14:textId="68FF8C19" w:rsidR="007C07A8" w:rsidRPr="0085679B" w:rsidRDefault="00377146" w:rsidP="00EC63A2">
      <w:pPr>
        <w:pStyle w:val="Heading2"/>
        <w:spacing w:after="240"/>
      </w:pPr>
      <w:bookmarkStart w:id="34" w:name="_Ref40875663"/>
      <w:bookmarkStart w:id="35" w:name="_Toc54610995"/>
      <w:r>
        <w:t>Digital Health Drug Repository (DHDR)</w:t>
      </w:r>
      <w:bookmarkEnd w:id="34"/>
      <w:bookmarkEnd w:id="35"/>
    </w:p>
    <w:tbl>
      <w:tblPr>
        <w:tblStyle w:val="TableGrid"/>
        <w:tblW w:w="0" w:type="auto"/>
        <w:tblLook w:val="04A0" w:firstRow="1" w:lastRow="0" w:firstColumn="1" w:lastColumn="0" w:noHBand="0" w:noVBand="1"/>
      </w:tblPr>
      <w:tblGrid>
        <w:gridCol w:w="5580"/>
        <w:gridCol w:w="3780"/>
      </w:tblGrid>
      <w:tr w:rsidR="00732B8D" w14:paraId="5423C265" w14:textId="1730B10D" w:rsidTr="228950F6">
        <w:tc>
          <w:tcPr>
            <w:tcW w:w="5580" w:type="dxa"/>
            <w:vMerge w:val="restart"/>
            <w:tcBorders>
              <w:top w:val="single" w:sz="4" w:space="0" w:color="auto"/>
              <w:left w:val="nil"/>
              <w:bottom w:val="nil"/>
              <w:right w:val="nil"/>
            </w:tcBorders>
            <w:shd w:val="clear" w:color="auto" w:fill="F8F8F8"/>
            <w:tcMar>
              <w:top w:w="58" w:type="dxa"/>
              <w:left w:w="115" w:type="dxa"/>
              <w:bottom w:w="0" w:type="dxa"/>
              <w:right w:w="115" w:type="dxa"/>
            </w:tcMar>
          </w:tcPr>
          <w:p w14:paraId="761601FD" w14:textId="77777777" w:rsidR="00732B8D" w:rsidRPr="00732B8D" w:rsidRDefault="00732B8D">
            <w:pPr>
              <w:pStyle w:val="TableText"/>
              <w:rPr>
                <w:b/>
                <w:bCs/>
                <w:sz w:val="20"/>
                <w:szCs w:val="20"/>
                <w:lang w:val="en-CA" w:eastAsia="en-CA"/>
              </w:rPr>
            </w:pPr>
            <w:r w:rsidRPr="00732B8D">
              <w:rPr>
                <w:b/>
                <w:bCs/>
                <w:sz w:val="20"/>
                <w:szCs w:val="20"/>
                <w:lang w:val="en-CA" w:eastAsia="en-CA"/>
              </w:rPr>
              <w:t>Description</w:t>
            </w:r>
          </w:p>
          <w:p w14:paraId="37F1D922" w14:textId="38651701" w:rsidR="00732B8D" w:rsidRPr="00DE5131" w:rsidRDefault="00732B8D" w:rsidP="00732B8D">
            <w:pPr>
              <w:pStyle w:val="TableText"/>
              <w:rPr>
                <w:lang w:val="en-CA" w:eastAsia="en-CA"/>
              </w:rPr>
            </w:pPr>
            <w:r w:rsidRPr="00DE5131">
              <w:rPr>
                <w:lang w:val="en-CA" w:eastAsia="en-CA"/>
              </w:rPr>
              <w:t xml:space="preserve">The POS solution will be able to retrieve medication dispensation information from the Digital Health Drug Repository </w:t>
            </w:r>
            <w:r>
              <w:rPr>
                <w:lang w:val="en-CA" w:eastAsia="en-CA"/>
              </w:rPr>
              <w:t xml:space="preserve">(DHDR) </w:t>
            </w:r>
            <w:r w:rsidRPr="00DE5131">
              <w:rPr>
                <w:lang w:val="en-CA" w:eastAsia="en-CA"/>
              </w:rPr>
              <w:t xml:space="preserve">through the provincial </w:t>
            </w:r>
            <w:r>
              <w:rPr>
                <w:lang w:val="en-CA" w:eastAsia="en-CA"/>
              </w:rPr>
              <w:t>ONE Access Gateway</w:t>
            </w:r>
            <w:r w:rsidRPr="00DE5131">
              <w:rPr>
                <w:lang w:val="en-CA" w:eastAsia="en-CA"/>
              </w:rPr>
              <w:t>.</w:t>
            </w:r>
          </w:p>
        </w:tc>
        <w:tc>
          <w:tcPr>
            <w:tcW w:w="3780" w:type="dxa"/>
            <w:tcBorders>
              <w:left w:val="nil"/>
              <w:bottom w:val="nil"/>
              <w:right w:val="nil"/>
            </w:tcBorders>
            <w:shd w:val="clear" w:color="auto" w:fill="F8F8F8"/>
          </w:tcPr>
          <w:p w14:paraId="4204FED0" w14:textId="77777777" w:rsidR="00732B8D" w:rsidRDefault="00732B8D" w:rsidP="00BA359F">
            <w:pPr>
              <w:pStyle w:val="TableText"/>
              <w:rPr>
                <w:lang w:val="en-CA" w:eastAsia="en-CA"/>
              </w:rPr>
            </w:pPr>
          </w:p>
        </w:tc>
      </w:tr>
      <w:tr w:rsidR="00732B8D" w14:paraId="2F4FFDB0" w14:textId="54836306" w:rsidTr="228950F6">
        <w:trPr>
          <w:trHeight w:val="535"/>
        </w:trPr>
        <w:tc>
          <w:tcPr>
            <w:tcW w:w="5580" w:type="dxa"/>
            <w:vMerge/>
            <w:tcMar>
              <w:top w:w="58" w:type="dxa"/>
              <w:left w:w="115" w:type="dxa"/>
              <w:bottom w:w="58" w:type="dxa"/>
              <w:right w:w="115" w:type="dxa"/>
            </w:tcMar>
          </w:tcPr>
          <w:p w14:paraId="6F3DC232" w14:textId="3F7A837C" w:rsidR="00732B8D" w:rsidRDefault="00732B8D" w:rsidP="00732B8D">
            <w:pPr>
              <w:pStyle w:val="TableText"/>
              <w:rPr>
                <w:lang w:val="en-CA" w:eastAsia="en-CA"/>
              </w:rPr>
            </w:pPr>
          </w:p>
        </w:tc>
        <w:tc>
          <w:tcPr>
            <w:tcW w:w="3780" w:type="dxa"/>
            <w:tcBorders>
              <w:top w:val="nil"/>
              <w:left w:val="nil"/>
              <w:bottom w:val="nil"/>
              <w:right w:val="nil"/>
            </w:tcBorders>
            <w:shd w:val="clear" w:color="auto" w:fill="F8F8F8"/>
          </w:tcPr>
          <w:p w14:paraId="4F7AC687" w14:textId="425EC5DD" w:rsidR="00732B8D" w:rsidRPr="00DE5131" w:rsidRDefault="00732B8D" w:rsidP="007F7F20">
            <w:pPr>
              <w:pStyle w:val="TableText"/>
              <w:spacing w:before="0"/>
              <w:rPr>
                <w:lang w:val="en-CA" w:eastAsia="en-CA"/>
              </w:rPr>
            </w:pPr>
            <w:r>
              <w:rPr>
                <w:noProof/>
              </w:rPr>
              <w:drawing>
                <wp:inline distT="0" distB="0" distL="0" distR="0" wp14:anchorId="1BD0ADCA" wp14:editId="4DDB35D8">
                  <wp:extent cx="371475" cy="337820"/>
                  <wp:effectExtent l="0" t="0" r="9525" b="508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a:extLst>
                              <a:ext uri="{28A0092B-C50C-407E-A947-70E740481C1C}">
                                <a14:useLocalDpi xmlns:a14="http://schemas.microsoft.com/office/drawing/2010/main" val="0"/>
                              </a:ext>
                            </a:extLst>
                          </a:blip>
                          <a:srcRect b="-1334"/>
                          <a:stretch>
                            <a:fillRect/>
                          </a:stretch>
                        </pic:blipFill>
                        <pic:spPr>
                          <a:xfrm>
                            <a:off x="0" y="0"/>
                            <a:ext cx="371475" cy="337820"/>
                          </a:xfrm>
                          <a:prstGeom prst="rect">
                            <a:avLst/>
                          </a:prstGeom>
                        </pic:spPr>
                      </pic:pic>
                    </a:graphicData>
                  </a:graphic>
                </wp:inline>
              </w:drawing>
            </w:r>
          </w:p>
        </w:tc>
      </w:tr>
      <w:tr w:rsidR="00732B8D" w14:paraId="1772023F" w14:textId="77777777" w:rsidTr="228950F6">
        <w:tc>
          <w:tcPr>
            <w:tcW w:w="9360" w:type="dxa"/>
            <w:gridSpan w:val="2"/>
            <w:tcBorders>
              <w:top w:val="nil"/>
              <w:left w:val="nil"/>
              <w:right w:val="nil"/>
            </w:tcBorders>
            <w:shd w:val="clear" w:color="auto" w:fill="F8F8F8"/>
            <w:tcMar>
              <w:top w:w="0" w:type="dxa"/>
              <w:left w:w="115" w:type="dxa"/>
              <w:bottom w:w="58" w:type="dxa"/>
              <w:right w:w="115" w:type="dxa"/>
            </w:tcMar>
          </w:tcPr>
          <w:p w14:paraId="08AAB1C2" w14:textId="3FA9107B" w:rsidR="00732B8D" w:rsidRDefault="00732B8D" w:rsidP="0021508F">
            <w:pPr>
              <w:pStyle w:val="TableText"/>
              <w:spacing w:before="0"/>
              <w:rPr>
                <w:lang w:val="en-CA" w:eastAsia="en-CA"/>
              </w:rPr>
            </w:pPr>
            <w:r w:rsidRPr="00732B8D">
              <w:rPr>
                <w:lang w:val="en-CA" w:eastAsia="en-CA"/>
              </w:rPr>
              <w:t>This integration can occur through conformance to the following specification</w:t>
            </w:r>
            <w:r>
              <w:rPr>
                <w:lang w:val="en-CA" w:eastAsia="en-CA"/>
              </w:rPr>
              <w:t xml:space="preserve">: </w:t>
            </w:r>
            <w:hyperlink r:id="rId41" w:history="1">
              <w:r>
                <w:rPr>
                  <w:rStyle w:val="Hyperlink"/>
                  <w:lang w:val="en-CA" w:eastAsia="en-CA"/>
                </w:rPr>
                <w:t>Digital Health Drug Repository Specification –FHIR (Release 3)</w:t>
              </w:r>
            </w:hyperlink>
            <w:r w:rsidR="00513667">
              <w:rPr>
                <w:rStyle w:val="Hyperlink"/>
                <w:lang w:val="en-CA" w:eastAsia="en-CA"/>
              </w:rPr>
              <w:t>.</w:t>
            </w:r>
          </w:p>
        </w:tc>
      </w:tr>
      <w:tr w:rsidR="00732B8D" w14:paraId="20F7979E" w14:textId="026290AD" w:rsidTr="228950F6">
        <w:tc>
          <w:tcPr>
            <w:tcW w:w="9360" w:type="dxa"/>
            <w:gridSpan w:val="2"/>
            <w:tcBorders>
              <w:left w:val="nil"/>
              <w:right w:val="nil"/>
            </w:tcBorders>
            <w:tcMar>
              <w:top w:w="58" w:type="dxa"/>
              <w:left w:w="115" w:type="dxa"/>
              <w:bottom w:w="58" w:type="dxa"/>
              <w:right w:w="115" w:type="dxa"/>
            </w:tcMar>
          </w:tcPr>
          <w:p w14:paraId="0C76C2CA" w14:textId="455A04DB" w:rsidR="00732B8D" w:rsidRPr="00732B8D" w:rsidRDefault="00B051A5" w:rsidP="00C61335">
            <w:pPr>
              <w:pStyle w:val="TableText"/>
              <w:rPr>
                <w:b/>
                <w:sz w:val="20"/>
                <w:szCs w:val="20"/>
                <w:lang w:val="en-CA" w:eastAsia="en-CA"/>
              </w:rPr>
            </w:pPr>
            <w:r>
              <w:rPr>
                <w:b/>
                <w:sz w:val="20"/>
                <w:szCs w:val="20"/>
                <w:lang w:val="en-CA" w:eastAsia="en-CA"/>
              </w:rPr>
              <w:t xml:space="preserve">Expected Response </w:t>
            </w:r>
            <w:r w:rsidR="005F2D80">
              <w:rPr>
                <w:b/>
                <w:sz w:val="20"/>
                <w:szCs w:val="20"/>
                <w:lang w:val="en-CA" w:eastAsia="en-CA"/>
              </w:rPr>
              <w:t>f</w:t>
            </w:r>
            <w:r w:rsidR="00732B8D" w:rsidRPr="00732B8D">
              <w:rPr>
                <w:b/>
                <w:sz w:val="20"/>
                <w:szCs w:val="20"/>
                <w:lang w:val="en-CA" w:eastAsia="en-CA"/>
              </w:rPr>
              <w:t>rom Vendor</w:t>
            </w:r>
          </w:p>
          <w:p w14:paraId="1A54E22A" w14:textId="6D40E978" w:rsidR="00732B8D" w:rsidRPr="00DE5131" w:rsidRDefault="00732B8D" w:rsidP="00410D4F">
            <w:pPr>
              <w:pStyle w:val="TableText"/>
              <w:rPr>
                <w:lang w:val="en-CA" w:eastAsia="en-CA"/>
              </w:rPr>
            </w:pPr>
            <w:r w:rsidRPr="00DE5131">
              <w:rPr>
                <w:lang w:val="en-CA" w:eastAsia="en-CA"/>
              </w:rPr>
              <w:t>Preference will be given to responses that demonstrate previous experience integrating with DHDR in other deployments. Experience with the international Fast Healthcare Interoperability Resources (</w:t>
            </w:r>
            <w:r w:rsidR="002C11C0" w:rsidRPr="002C11C0">
              <w:rPr>
                <w:lang w:val="en-CA" w:eastAsia="en-CA"/>
              </w:rPr>
              <w:t>FHIR®</w:t>
            </w:r>
            <w:r w:rsidR="002C11C0">
              <w:rPr>
                <w:lang w:val="en-CA" w:eastAsia="en-CA"/>
              </w:rPr>
              <w:t>)</w:t>
            </w:r>
            <w:r w:rsidR="004F7938">
              <w:rPr>
                <w:lang w:val="en-CA" w:eastAsia="en-CA"/>
              </w:rPr>
              <w:t xml:space="preserve"> </w:t>
            </w:r>
            <w:r w:rsidRPr="00DE5131">
              <w:rPr>
                <w:lang w:val="en-CA" w:eastAsia="en-CA"/>
              </w:rPr>
              <w:t>standard would also be valuable.</w:t>
            </w:r>
          </w:p>
        </w:tc>
      </w:tr>
      <w:tr w:rsidR="00732B8D" w14:paraId="68D27A34" w14:textId="421B0732" w:rsidTr="228950F6">
        <w:tc>
          <w:tcPr>
            <w:tcW w:w="9360" w:type="dxa"/>
            <w:gridSpan w:val="2"/>
            <w:tcBorders>
              <w:left w:val="nil"/>
              <w:right w:val="nil"/>
            </w:tcBorders>
            <w:shd w:val="clear" w:color="auto" w:fill="F8F8F8"/>
            <w:tcMar>
              <w:top w:w="58" w:type="dxa"/>
              <w:left w:w="115" w:type="dxa"/>
              <w:bottom w:w="58" w:type="dxa"/>
              <w:right w:w="115" w:type="dxa"/>
            </w:tcMar>
          </w:tcPr>
          <w:p w14:paraId="0F328549" w14:textId="73EA22C6" w:rsidR="00732B8D" w:rsidRPr="00732B8D" w:rsidRDefault="00732B8D" w:rsidP="00E62AEB">
            <w:pPr>
              <w:pStyle w:val="TableText"/>
              <w:rPr>
                <w:b/>
                <w:sz w:val="20"/>
                <w:szCs w:val="20"/>
                <w:lang w:val="en-CA" w:eastAsia="en-CA"/>
              </w:rPr>
            </w:pPr>
            <w:r w:rsidRPr="00732B8D">
              <w:rPr>
                <w:b/>
                <w:sz w:val="20"/>
                <w:szCs w:val="20"/>
                <w:lang w:val="en-CA" w:eastAsia="en-CA"/>
              </w:rPr>
              <w:t>Rationale</w:t>
            </w:r>
          </w:p>
          <w:p w14:paraId="21EFE328" w14:textId="5C34A6C9" w:rsidR="00732B8D" w:rsidRPr="00DE5131" w:rsidRDefault="00732B8D">
            <w:pPr>
              <w:pStyle w:val="TableText"/>
              <w:rPr>
                <w:lang w:val="en-CA" w:eastAsia="en-CA"/>
              </w:rPr>
            </w:pPr>
            <w:r w:rsidRPr="001D642B">
              <w:rPr>
                <w:lang w:val="en-CA" w:eastAsia="en-CA"/>
              </w:rPr>
              <w:t>Medication-related problems such as drug interactions and adverse drug events have been identified by health</w:t>
            </w:r>
            <w:r w:rsidR="006567A8">
              <w:rPr>
                <w:lang w:val="en-CA" w:eastAsia="en-CA"/>
              </w:rPr>
              <w:t xml:space="preserve"> </w:t>
            </w:r>
            <w:r w:rsidRPr="001D642B">
              <w:rPr>
                <w:lang w:val="en-CA" w:eastAsia="en-CA"/>
              </w:rPr>
              <w:t>care providers as significant contributors to the patient’s well-being and their use of the health system. The DHDR solution provides a robust, standards-based and sustainable informationa</w:t>
            </w:r>
            <w:r w:rsidR="0021508F" w:rsidRPr="001D642B">
              <w:rPr>
                <w:lang w:val="en-CA" w:eastAsia="en-CA"/>
              </w:rPr>
              <w:t>l data-</w:t>
            </w:r>
            <w:r w:rsidRPr="001D642B">
              <w:rPr>
                <w:lang w:val="en-CA" w:eastAsia="en-CA"/>
              </w:rPr>
              <w:t xml:space="preserve">store environment (repository) and web services (access channels) for all Ontario Drug Benefits </w:t>
            </w:r>
            <w:r w:rsidR="590B728F" w:rsidRPr="001D642B">
              <w:rPr>
                <w:lang w:val="en-CA" w:eastAsia="en-CA"/>
              </w:rPr>
              <w:t xml:space="preserve">and Narcotic Monitoring System </w:t>
            </w:r>
            <w:r w:rsidRPr="001D642B">
              <w:rPr>
                <w:lang w:val="en-CA" w:eastAsia="en-CA"/>
              </w:rPr>
              <w:t>dispenses in Ontario. It will eventually contain all dispensed drug history (events) data for all Ontarians.</w:t>
            </w:r>
          </w:p>
        </w:tc>
      </w:tr>
    </w:tbl>
    <w:p w14:paraId="395F3D88" w14:textId="25A8C5B9" w:rsidR="0085679B" w:rsidRPr="00EC63A2" w:rsidRDefault="00377146" w:rsidP="00EC63A2">
      <w:pPr>
        <w:pStyle w:val="Heading2"/>
        <w:spacing w:after="240"/>
      </w:pPr>
      <w:bookmarkStart w:id="36" w:name="_Ref40875675"/>
      <w:bookmarkStart w:id="37" w:name="_Toc54610996"/>
      <w:r w:rsidRPr="00D55EB7">
        <w:t>Digital Health Immunization Repository (DHIR</w:t>
      </w:r>
      <w:r w:rsidR="00397C55" w:rsidRPr="00D55EB7">
        <w:t>)</w:t>
      </w:r>
      <w:bookmarkEnd w:id="36"/>
      <w:bookmarkEnd w:id="37"/>
    </w:p>
    <w:tbl>
      <w:tblPr>
        <w:tblStyle w:val="TableGrid"/>
        <w:tblW w:w="0" w:type="auto"/>
        <w:tblLook w:val="04A0" w:firstRow="1" w:lastRow="0" w:firstColumn="1" w:lastColumn="0" w:noHBand="0" w:noVBand="1"/>
      </w:tblPr>
      <w:tblGrid>
        <w:gridCol w:w="5580"/>
        <w:gridCol w:w="3780"/>
      </w:tblGrid>
      <w:tr w:rsidR="002A4D0B" w14:paraId="0E365950" w14:textId="67DA01BD" w:rsidTr="228950F6">
        <w:tc>
          <w:tcPr>
            <w:tcW w:w="5580" w:type="dxa"/>
            <w:vMerge w:val="restart"/>
            <w:tcBorders>
              <w:top w:val="single" w:sz="4" w:space="0" w:color="auto"/>
              <w:left w:val="nil"/>
              <w:bottom w:val="nil"/>
              <w:right w:val="nil"/>
            </w:tcBorders>
            <w:shd w:val="clear" w:color="auto" w:fill="F8F8F8"/>
            <w:tcMar>
              <w:top w:w="0" w:type="dxa"/>
              <w:left w:w="115" w:type="dxa"/>
              <w:bottom w:w="0" w:type="dxa"/>
              <w:right w:w="115" w:type="dxa"/>
            </w:tcMar>
          </w:tcPr>
          <w:p w14:paraId="4ED2250A" w14:textId="77777777" w:rsidR="002A4D0B" w:rsidRPr="002A4D0B" w:rsidRDefault="002A4D0B" w:rsidP="00A866BA">
            <w:pPr>
              <w:pStyle w:val="TableText"/>
              <w:keepNext/>
              <w:spacing w:before="80"/>
              <w:rPr>
                <w:b/>
                <w:bCs/>
                <w:sz w:val="20"/>
                <w:szCs w:val="20"/>
                <w:lang w:val="en-CA" w:eastAsia="en-CA"/>
              </w:rPr>
            </w:pPr>
            <w:r w:rsidRPr="002A4D0B">
              <w:rPr>
                <w:b/>
                <w:bCs/>
                <w:sz w:val="20"/>
                <w:szCs w:val="20"/>
                <w:lang w:val="en-CA" w:eastAsia="en-CA"/>
              </w:rPr>
              <w:t>Description</w:t>
            </w:r>
          </w:p>
          <w:p w14:paraId="4E4A29E7" w14:textId="6534D086" w:rsidR="002A4D0B" w:rsidRPr="002A4D0B" w:rsidRDefault="002A4D0B" w:rsidP="00A866BA">
            <w:pPr>
              <w:pStyle w:val="TableText"/>
              <w:keepNext/>
              <w:spacing w:before="0" w:after="0"/>
              <w:rPr>
                <w:b/>
                <w:sz w:val="20"/>
                <w:szCs w:val="20"/>
                <w:lang w:val="en-CA" w:eastAsia="en-CA"/>
              </w:rPr>
            </w:pPr>
            <w:r w:rsidRPr="00DE5131">
              <w:rPr>
                <w:lang w:val="en-CA" w:eastAsia="en-CA"/>
              </w:rPr>
              <w:t>The POS solution will be able to submit and retrieve immunization records to the Digital Health Immunization Reposito</w:t>
            </w:r>
            <w:r>
              <w:rPr>
                <w:lang w:val="en-CA" w:eastAsia="en-CA"/>
              </w:rPr>
              <w:t>ry (DHIR) through the provincial ONE Access Gateway.</w:t>
            </w:r>
          </w:p>
        </w:tc>
        <w:tc>
          <w:tcPr>
            <w:tcW w:w="3780" w:type="dxa"/>
            <w:tcBorders>
              <w:left w:val="nil"/>
              <w:bottom w:val="nil"/>
              <w:right w:val="nil"/>
            </w:tcBorders>
            <w:shd w:val="clear" w:color="auto" w:fill="F8F8F8"/>
            <w:tcMar>
              <w:top w:w="0" w:type="dxa"/>
              <w:left w:w="115" w:type="dxa"/>
              <w:bottom w:w="58" w:type="dxa"/>
              <w:right w:w="115" w:type="dxa"/>
            </w:tcMar>
          </w:tcPr>
          <w:p w14:paraId="318199AF" w14:textId="56E13B3E" w:rsidR="002A4D0B" w:rsidRDefault="002A4D0B" w:rsidP="00A866BA">
            <w:pPr>
              <w:pStyle w:val="TableText"/>
              <w:keepNext/>
              <w:spacing w:before="0" w:after="0"/>
              <w:rPr>
                <w:b/>
                <w:sz w:val="20"/>
                <w:szCs w:val="20"/>
                <w:lang w:val="en-CA" w:eastAsia="en-CA"/>
              </w:rPr>
            </w:pPr>
          </w:p>
        </w:tc>
      </w:tr>
      <w:tr w:rsidR="002A4D0B" w14:paraId="4711F495" w14:textId="1E0496E6" w:rsidTr="228950F6">
        <w:trPr>
          <w:trHeight w:val="553"/>
        </w:trPr>
        <w:tc>
          <w:tcPr>
            <w:tcW w:w="5580" w:type="dxa"/>
            <w:vMerge/>
            <w:tcMar>
              <w:top w:w="0" w:type="dxa"/>
              <w:left w:w="115" w:type="dxa"/>
              <w:bottom w:w="58" w:type="dxa"/>
              <w:right w:w="115" w:type="dxa"/>
            </w:tcMar>
          </w:tcPr>
          <w:p w14:paraId="44247E66" w14:textId="78C5A6AB" w:rsidR="002A4D0B" w:rsidRDefault="002A4D0B" w:rsidP="00A866BA">
            <w:pPr>
              <w:pStyle w:val="TableText"/>
              <w:keepNext/>
              <w:spacing w:before="0" w:after="0"/>
              <w:rPr>
                <w:lang w:val="en-CA" w:eastAsia="en-CA"/>
              </w:rPr>
            </w:pPr>
          </w:p>
        </w:tc>
        <w:tc>
          <w:tcPr>
            <w:tcW w:w="3780" w:type="dxa"/>
            <w:tcBorders>
              <w:top w:val="nil"/>
              <w:left w:val="nil"/>
              <w:bottom w:val="nil"/>
              <w:right w:val="nil"/>
            </w:tcBorders>
            <w:shd w:val="clear" w:color="auto" w:fill="F8F8F8"/>
            <w:tcMar>
              <w:top w:w="0" w:type="dxa"/>
              <w:left w:w="115" w:type="dxa"/>
              <w:bottom w:w="0" w:type="dxa"/>
              <w:right w:w="115" w:type="dxa"/>
            </w:tcMar>
          </w:tcPr>
          <w:p w14:paraId="311DC7E7" w14:textId="25475920" w:rsidR="002A4D0B" w:rsidRDefault="002A4D0B" w:rsidP="00A866BA">
            <w:pPr>
              <w:pStyle w:val="TableText"/>
              <w:keepNext/>
              <w:spacing w:before="0" w:after="0"/>
              <w:rPr>
                <w:lang w:val="en-CA" w:eastAsia="en-CA"/>
              </w:rPr>
            </w:pPr>
            <w:r>
              <w:rPr>
                <w:noProof/>
              </w:rPr>
              <w:drawing>
                <wp:inline distT="0" distB="0" distL="0" distR="0" wp14:anchorId="35B3B69B" wp14:editId="7EF4DAFD">
                  <wp:extent cx="438095" cy="40952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2">
                            <a:extLst>
                              <a:ext uri="{BEBA8EAE-BF5A-486C-A8C5-ECC9F3942E4B}">
                                <a14:imgProps xmlns:a14="http://schemas.microsoft.com/office/drawing/2010/main">
                                  <a14:imgLayer r:embed="rId43">
                                    <a14:imgEffect>
                                      <a14:backgroundRemoval t="10000" b="90000" l="10000" r="90000"/>
                                    </a14:imgEffect>
                                  </a14:imgLayer>
                                </a14:imgProps>
                              </a:ext>
                            </a:extLst>
                          </a:blip>
                          <a:stretch>
                            <a:fillRect/>
                          </a:stretch>
                        </pic:blipFill>
                        <pic:spPr>
                          <a:xfrm rot="11400000">
                            <a:off x="0" y="0"/>
                            <a:ext cx="438095" cy="409524"/>
                          </a:xfrm>
                          <a:prstGeom prst="rect">
                            <a:avLst/>
                          </a:prstGeom>
                        </pic:spPr>
                      </pic:pic>
                    </a:graphicData>
                  </a:graphic>
                </wp:inline>
              </w:drawing>
            </w:r>
          </w:p>
        </w:tc>
      </w:tr>
      <w:tr w:rsidR="002A4D0B" w14:paraId="3ACC26E7" w14:textId="77777777" w:rsidTr="228950F6">
        <w:tc>
          <w:tcPr>
            <w:tcW w:w="9360" w:type="dxa"/>
            <w:gridSpan w:val="2"/>
            <w:tcBorders>
              <w:top w:val="nil"/>
              <w:left w:val="nil"/>
              <w:right w:val="nil"/>
            </w:tcBorders>
            <w:shd w:val="clear" w:color="auto" w:fill="F8F8F8"/>
            <w:tcMar>
              <w:top w:w="0" w:type="dxa"/>
              <w:left w:w="115" w:type="dxa"/>
              <w:bottom w:w="58" w:type="dxa"/>
              <w:right w:w="115" w:type="dxa"/>
            </w:tcMar>
          </w:tcPr>
          <w:p w14:paraId="673F87CC" w14:textId="2F5CE5CC" w:rsidR="002A4D0B" w:rsidRPr="003F5431" w:rsidRDefault="002A4D0B" w:rsidP="002A4D0B">
            <w:pPr>
              <w:pStyle w:val="TableText"/>
              <w:keepNext/>
              <w:spacing w:before="0"/>
              <w:rPr>
                <w:lang w:val="en-CA" w:eastAsia="en-CA"/>
              </w:rPr>
            </w:pPr>
            <w:r w:rsidRPr="003F5431">
              <w:rPr>
                <w:lang w:val="en-CA" w:eastAsia="en-CA"/>
              </w:rPr>
              <w:t>This integration can occur through conformance to the following specifications:</w:t>
            </w:r>
          </w:p>
          <w:p w14:paraId="0B4999A5" w14:textId="2D324274" w:rsidR="002A4D0B" w:rsidRPr="002A4D0B" w:rsidRDefault="00D92A6E" w:rsidP="00513667">
            <w:pPr>
              <w:pStyle w:val="TableText"/>
              <w:keepNext/>
              <w:numPr>
                <w:ilvl w:val="0"/>
                <w:numId w:val="33"/>
              </w:numPr>
              <w:ind w:left="602" w:hanging="242"/>
              <w:rPr>
                <w:rStyle w:val="Hyperlink"/>
                <w:color w:val="auto"/>
                <w:u w:val="none"/>
                <w:lang w:val="en-CA" w:eastAsia="en-CA"/>
              </w:rPr>
            </w:pPr>
            <w:hyperlink r:id="rId44" w:history="1">
              <w:r w:rsidR="002A4D0B">
                <w:rPr>
                  <w:rStyle w:val="Hyperlink"/>
                  <w:lang w:val="en-CA" w:eastAsia="en-CA"/>
                </w:rPr>
                <w:t>Digital Health Immunization Repository Consumer Access Specification – FHIR</w:t>
              </w:r>
            </w:hyperlink>
            <w:r w:rsidR="00513667">
              <w:rPr>
                <w:rStyle w:val="Hyperlink"/>
                <w:lang w:val="en-CA" w:eastAsia="en-CA"/>
              </w:rPr>
              <w:t>;</w:t>
            </w:r>
          </w:p>
          <w:p w14:paraId="2DB2AE0E" w14:textId="1E1A1773" w:rsidR="002A4D0B" w:rsidRDefault="00D92A6E" w:rsidP="00513667">
            <w:pPr>
              <w:pStyle w:val="TableText"/>
              <w:keepNext/>
              <w:numPr>
                <w:ilvl w:val="0"/>
                <w:numId w:val="33"/>
              </w:numPr>
              <w:ind w:left="602" w:hanging="242"/>
              <w:rPr>
                <w:lang w:val="en-CA" w:eastAsia="en-CA"/>
              </w:rPr>
            </w:pPr>
            <w:hyperlink r:id="rId45" w:history="1">
              <w:r w:rsidR="002A4D0B">
                <w:rPr>
                  <w:rStyle w:val="Hyperlink"/>
                  <w:lang w:val="en-CA" w:eastAsia="en-CA"/>
                </w:rPr>
                <w:t>Digital Health Immunization Repository Provider Specification – FHIR (Release 4)</w:t>
              </w:r>
            </w:hyperlink>
            <w:r w:rsidR="00513667">
              <w:rPr>
                <w:rStyle w:val="Hyperlink"/>
                <w:lang w:val="en-CA" w:eastAsia="en-CA"/>
              </w:rPr>
              <w:t>.</w:t>
            </w:r>
          </w:p>
        </w:tc>
      </w:tr>
      <w:tr w:rsidR="002A4D0B" w14:paraId="6AB98FB4" w14:textId="7838DC4B" w:rsidTr="228950F6">
        <w:tc>
          <w:tcPr>
            <w:tcW w:w="9360" w:type="dxa"/>
            <w:gridSpan w:val="2"/>
            <w:tcBorders>
              <w:left w:val="nil"/>
              <w:right w:val="nil"/>
            </w:tcBorders>
            <w:tcMar>
              <w:top w:w="58" w:type="dxa"/>
              <w:left w:w="115" w:type="dxa"/>
              <w:bottom w:w="58" w:type="dxa"/>
              <w:right w:w="115" w:type="dxa"/>
            </w:tcMar>
          </w:tcPr>
          <w:p w14:paraId="6D2BBB62" w14:textId="34E21425" w:rsidR="002A4D0B" w:rsidRPr="002A4D0B" w:rsidRDefault="00B051A5" w:rsidP="00C61335">
            <w:pPr>
              <w:pStyle w:val="TableText"/>
              <w:rPr>
                <w:sz w:val="20"/>
                <w:szCs w:val="20"/>
                <w:lang w:val="en-CA" w:eastAsia="en-CA"/>
              </w:rPr>
            </w:pPr>
            <w:r>
              <w:rPr>
                <w:b/>
                <w:bCs/>
                <w:sz w:val="20"/>
                <w:szCs w:val="20"/>
                <w:lang w:val="en-CA" w:eastAsia="en-CA"/>
              </w:rPr>
              <w:t xml:space="preserve">Expected Response </w:t>
            </w:r>
            <w:r w:rsidR="00A942F1">
              <w:rPr>
                <w:b/>
                <w:bCs/>
                <w:sz w:val="20"/>
                <w:szCs w:val="20"/>
                <w:lang w:val="en-CA" w:eastAsia="en-CA"/>
              </w:rPr>
              <w:t>f</w:t>
            </w:r>
            <w:r w:rsidR="002A4D0B" w:rsidRPr="002A4D0B">
              <w:rPr>
                <w:b/>
                <w:bCs/>
                <w:sz w:val="20"/>
                <w:szCs w:val="20"/>
                <w:lang w:val="en-CA" w:eastAsia="en-CA"/>
              </w:rPr>
              <w:t>rom Vendor</w:t>
            </w:r>
          </w:p>
          <w:p w14:paraId="38682242" w14:textId="2E1F352E" w:rsidR="002A4D0B" w:rsidRPr="002A4D0B" w:rsidRDefault="002A4D0B" w:rsidP="00410D4F">
            <w:pPr>
              <w:pStyle w:val="TableText"/>
              <w:rPr>
                <w:sz w:val="20"/>
                <w:szCs w:val="20"/>
                <w:lang w:val="en-CA" w:eastAsia="en-CA"/>
              </w:rPr>
            </w:pPr>
            <w:r w:rsidRPr="00DE5131">
              <w:rPr>
                <w:lang w:val="en-CA" w:eastAsia="en-CA"/>
              </w:rPr>
              <w:t>Preference will be given to responses that demonstrate previous experience integrating with DHIR in other deployments. Experience with the international Fast Healthcare Interoperability Resources (FHIR) standard would also be valuable.</w:t>
            </w:r>
          </w:p>
        </w:tc>
      </w:tr>
      <w:tr w:rsidR="002A4D0B" w14:paraId="256AEEDB" w14:textId="10093946" w:rsidTr="228950F6">
        <w:tc>
          <w:tcPr>
            <w:tcW w:w="9360" w:type="dxa"/>
            <w:gridSpan w:val="2"/>
            <w:tcBorders>
              <w:left w:val="nil"/>
              <w:right w:val="nil"/>
            </w:tcBorders>
            <w:shd w:val="clear" w:color="auto" w:fill="F8F8F8"/>
            <w:tcMar>
              <w:top w:w="58" w:type="dxa"/>
              <w:left w:w="115" w:type="dxa"/>
              <w:bottom w:w="58" w:type="dxa"/>
              <w:right w:w="115" w:type="dxa"/>
            </w:tcMar>
          </w:tcPr>
          <w:p w14:paraId="3B666328" w14:textId="77777777" w:rsidR="002A4D0B" w:rsidRPr="002A4D0B" w:rsidRDefault="002A4D0B" w:rsidP="00C61335">
            <w:pPr>
              <w:pStyle w:val="TableText"/>
              <w:rPr>
                <w:b/>
                <w:sz w:val="20"/>
                <w:szCs w:val="20"/>
                <w:lang w:val="en-CA" w:eastAsia="en-CA"/>
              </w:rPr>
            </w:pPr>
            <w:r w:rsidRPr="002A4D0B">
              <w:rPr>
                <w:b/>
                <w:sz w:val="20"/>
                <w:szCs w:val="20"/>
                <w:lang w:val="en-CA" w:eastAsia="en-CA"/>
              </w:rPr>
              <w:t>Rationale</w:t>
            </w:r>
          </w:p>
          <w:p w14:paraId="312035A0" w14:textId="4938A9E2" w:rsidR="002A4D0B" w:rsidRDefault="002A4D0B" w:rsidP="002A4D0B">
            <w:pPr>
              <w:pStyle w:val="TableText"/>
              <w:rPr>
                <w:lang w:val="en-CA" w:eastAsia="en-CA"/>
              </w:rPr>
            </w:pPr>
            <w:r w:rsidRPr="00DE5131">
              <w:rPr>
                <w:lang w:val="en-CA" w:eastAsia="en-CA"/>
              </w:rPr>
              <w:t>DHIR is the current immunization repository for the province of Ontario. It contains public health immunization information and over 90 million standardized immunization records for over 6 million clients, with over 2</w:t>
            </w:r>
            <w:r w:rsidR="00B400E7">
              <w:rPr>
                <w:lang w:val="en-CA" w:eastAsia="en-CA"/>
              </w:rPr>
              <w:t>,</w:t>
            </w:r>
            <w:r w:rsidRPr="00DE5131">
              <w:rPr>
                <w:lang w:val="en-CA" w:eastAsia="en-CA"/>
              </w:rPr>
              <w:t>000 registered users.</w:t>
            </w:r>
          </w:p>
          <w:p w14:paraId="1658A154" w14:textId="77C25104" w:rsidR="000C731F" w:rsidRDefault="000C731F" w:rsidP="001C7B21">
            <w:pPr>
              <w:pStyle w:val="TableText"/>
              <w:rPr>
                <w:lang w:val="en-CA" w:eastAsia="en-CA"/>
              </w:rPr>
            </w:pPr>
            <w:r w:rsidRPr="00B400E7">
              <w:rPr>
                <w:lang w:val="en-CA" w:eastAsia="en-CA"/>
              </w:rPr>
              <w:t>To enable the vision of a provincial immunization system where individuals, health care providers and public health all have real-time access to the same immunization information, Ontario is taking a coordinated approach to facilitate easier collection of, and access to, complete, accurate and timely immunization records.</w:t>
            </w:r>
            <w:r w:rsidRPr="00A77CEA">
              <w:rPr>
                <w:lang w:val="en-CA" w:eastAsia="en-CA"/>
              </w:rPr>
              <w:t xml:space="preserve"> </w:t>
            </w:r>
          </w:p>
          <w:p w14:paraId="7BA8CC7F" w14:textId="77777777" w:rsidR="000C731F" w:rsidRDefault="001C7B21" w:rsidP="001C7B21">
            <w:pPr>
              <w:pStyle w:val="TableText"/>
              <w:rPr>
                <w:lang w:val="en-CA" w:eastAsia="en-CA"/>
              </w:rPr>
            </w:pPr>
            <w:r w:rsidRPr="00B400E7">
              <w:rPr>
                <w:lang w:val="en-CA" w:eastAsia="en-CA"/>
              </w:rPr>
              <w:t xml:space="preserve">The goal is to improve health outcomes by making comprehensive immunization information accessible in real time to support health care providers in clinical practice and to engage the public as active partners in managing their health. Key to this approach is the provincial digital health immunization repository (DHIR) – a centralized repository of standardized electronic immunization data which forms the foundation of a broader interoperable ecosystem for immunization data in Ontario. </w:t>
            </w:r>
          </w:p>
          <w:p w14:paraId="4CE6F75D" w14:textId="6C32A939" w:rsidR="001C7B21" w:rsidRPr="0033480F" w:rsidRDefault="001C7B21" w:rsidP="001C7B21">
            <w:pPr>
              <w:pStyle w:val="TableText"/>
              <w:rPr>
                <w:lang w:val="en-CA" w:eastAsia="en-CA"/>
              </w:rPr>
            </w:pPr>
            <w:r w:rsidRPr="0033480F">
              <w:rPr>
                <w:lang w:val="en-CA" w:eastAsia="en-CA"/>
              </w:rPr>
              <w:t>The DHIR primarily supports data sharing for public health purposes; Ontario’s public health units access the repository through Panorama. However, the public is also able to access and update their immunization records through a web-based tool called Immunization Connect Ontario/Digital Yellow Card (ICON/DYC).</w:t>
            </w:r>
          </w:p>
        </w:tc>
      </w:tr>
    </w:tbl>
    <w:p w14:paraId="47E76779" w14:textId="4AA8953D" w:rsidR="007C07A8" w:rsidRPr="006B30B1" w:rsidRDefault="00377146" w:rsidP="006C4C1F">
      <w:pPr>
        <w:pStyle w:val="Heading2"/>
        <w:spacing w:after="240"/>
      </w:pPr>
      <w:bookmarkStart w:id="38" w:name="_Ref40875688"/>
      <w:bookmarkStart w:id="39" w:name="_Toc54610997"/>
      <w:r>
        <w:t>Diagnostic Imaging Repository Integration (D</w:t>
      </w:r>
      <w:r w:rsidR="00C02158">
        <w:t xml:space="preserve">iagnostic </w:t>
      </w:r>
      <w:r>
        <w:t>I</w:t>
      </w:r>
      <w:r w:rsidR="00C02158">
        <w:t>maging-</w:t>
      </w:r>
      <w:r>
        <w:t xml:space="preserve"> Common Services)</w:t>
      </w:r>
      <w:bookmarkEnd w:id="38"/>
      <w:bookmarkEnd w:id="39"/>
    </w:p>
    <w:tbl>
      <w:tblPr>
        <w:tblStyle w:val="TableGrid"/>
        <w:tblW w:w="0" w:type="auto"/>
        <w:tblLook w:val="04A0" w:firstRow="1" w:lastRow="0" w:firstColumn="1" w:lastColumn="0" w:noHBand="0" w:noVBand="1"/>
      </w:tblPr>
      <w:tblGrid>
        <w:gridCol w:w="5760"/>
        <w:gridCol w:w="3600"/>
      </w:tblGrid>
      <w:tr w:rsidR="006C4C1F" w14:paraId="5B364EF6" w14:textId="31581A91" w:rsidTr="228950F6">
        <w:trPr>
          <w:cantSplit/>
        </w:trPr>
        <w:tc>
          <w:tcPr>
            <w:tcW w:w="5760" w:type="dxa"/>
            <w:vMerge w:val="restart"/>
            <w:tcBorders>
              <w:top w:val="single" w:sz="4" w:space="0" w:color="auto"/>
              <w:left w:val="nil"/>
              <w:bottom w:val="nil"/>
              <w:right w:val="nil"/>
            </w:tcBorders>
            <w:shd w:val="clear" w:color="auto" w:fill="F8F8F8"/>
            <w:tcMar>
              <w:top w:w="58" w:type="dxa"/>
              <w:left w:w="115" w:type="dxa"/>
              <w:bottom w:w="0" w:type="dxa"/>
              <w:right w:w="115" w:type="dxa"/>
            </w:tcMar>
          </w:tcPr>
          <w:p w14:paraId="68ECEB4E" w14:textId="77777777" w:rsidR="006C4C1F" w:rsidRPr="006C4C1F" w:rsidRDefault="006C4C1F" w:rsidP="006C4C1F">
            <w:pPr>
              <w:pStyle w:val="TableText"/>
              <w:keepNext/>
              <w:rPr>
                <w:b/>
                <w:sz w:val="20"/>
                <w:szCs w:val="20"/>
                <w:lang w:val="en-CA" w:eastAsia="en-CA"/>
              </w:rPr>
            </w:pPr>
            <w:r>
              <w:rPr>
                <w:b/>
                <w:sz w:val="20"/>
                <w:szCs w:val="20"/>
                <w:lang w:val="en-CA" w:eastAsia="en-CA"/>
              </w:rPr>
              <w:t>Description</w:t>
            </w:r>
          </w:p>
          <w:p w14:paraId="493D997E" w14:textId="5C64E3DE" w:rsidR="006C4C1F" w:rsidRPr="006C4C1F" w:rsidRDefault="006C4C1F" w:rsidP="006C4C1F">
            <w:pPr>
              <w:pStyle w:val="TableText"/>
              <w:keepNext/>
              <w:spacing w:after="0"/>
              <w:rPr>
                <w:b/>
                <w:sz w:val="20"/>
                <w:szCs w:val="20"/>
                <w:lang w:val="en-CA" w:eastAsia="en-CA"/>
              </w:rPr>
            </w:pPr>
            <w:r w:rsidRPr="00DE5131">
              <w:rPr>
                <w:lang w:val="en-CA" w:eastAsia="en-CA"/>
              </w:rPr>
              <w:t>The POS solution will be able to retrieve DI reports and image manifests from the provincial DI reports repository and integrate with DI Common Services. Access to these services will be through the pro</w:t>
            </w:r>
            <w:r>
              <w:rPr>
                <w:lang w:val="en-CA" w:eastAsia="en-CA"/>
              </w:rPr>
              <w:t>vincial HIAL.</w:t>
            </w:r>
          </w:p>
        </w:tc>
        <w:tc>
          <w:tcPr>
            <w:tcW w:w="3600" w:type="dxa"/>
            <w:tcBorders>
              <w:left w:val="nil"/>
              <w:bottom w:val="nil"/>
              <w:right w:val="nil"/>
            </w:tcBorders>
            <w:shd w:val="clear" w:color="auto" w:fill="F8F8F8"/>
          </w:tcPr>
          <w:p w14:paraId="1C000C5D" w14:textId="77777777" w:rsidR="006C4C1F" w:rsidRDefault="006C4C1F" w:rsidP="00DE5131">
            <w:pPr>
              <w:pStyle w:val="TableText"/>
              <w:rPr>
                <w:b/>
                <w:sz w:val="20"/>
                <w:szCs w:val="20"/>
                <w:lang w:val="en-CA" w:eastAsia="en-CA"/>
              </w:rPr>
            </w:pPr>
          </w:p>
        </w:tc>
      </w:tr>
      <w:tr w:rsidR="006C4C1F" w14:paraId="1D3669EF" w14:textId="7750EBFE" w:rsidTr="228950F6">
        <w:trPr>
          <w:cantSplit/>
        </w:trPr>
        <w:tc>
          <w:tcPr>
            <w:tcW w:w="5760" w:type="dxa"/>
            <w:vMerge/>
            <w:tcMar>
              <w:top w:w="58" w:type="dxa"/>
              <w:left w:w="115" w:type="dxa"/>
              <w:bottom w:w="58" w:type="dxa"/>
              <w:right w:w="115" w:type="dxa"/>
            </w:tcMar>
          </w:tcPr>
          <w:p w14:paraId="4E2FDCCC" w14:textId="2731D93C" w:rsidR="006C4C1F" w:rsidRDefault="006C4C1F" w:rsidP="006C4C1F">
            <w:pPr>
              <w:pStyle w:val="TableText"/>
              <w:rPr>
                <w:lang w:val="en-CA" w:eastAsia="en-CA"/>
              </w:rPr>
            </w:pPr>
          </w:p>
        </w:tc>
        <w:tc>
          <w:tcPr>
            <w:tcW w:w="3600" w:type="dxa"/>
            <w:tcBorders>
              <w:top w:val="nil"/>
              <w:left w:val="nil"/>
              <w:bottom w:val="nil"/>
              <w:right w:val="nil"/>
            </w:tcBorders>
            <w:shd w:val="clear" w:color="auto" w:fill="F8F8F8"/>
          </w:tcPr>
          <w:p w14:paraId="767A5B3E" w14:textId="01C97D74" w:rsidR="006C4C1F" w:rsidRPr="006C4C1F" w:rsidRDefault="006C4C1F" w:rsidP="00DE5131">
            <w:pPr>
              <w:pStyle w:val="TableText"/>
              <w:rPr>
                <w:b/>
                <w:sz w:val="20"/>
                <w:szCs w:val="20"/>
                <w:lang w:val="en-CA" w:eastAsia="en-CA"/>
              </w:rPr>
            </w:pPr>
            <w:r>
              <w:rPr>
                <w:noProof/>
              </w:rPr>
              <w:drawing>
                <wp:inline distT="0" distB="0" distL="0" distR="0" wp14:anchorId="0A535858" wp14:editId="3DE096D3">
                  <wp:extent cx="342900" cy="333375"/>
                  <wp:effectExtent l="0" t="0" r="0" b="9525"/>
                  <wp:docPr id="86535367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6">
                            <a:extLst>
                              <a:ext uri="{28A0092B-C50C-407E-A947-70E740481C1C}">
                                <a14:useLocalDpi xmlns:a14="http://schemas.microsoft.com/office/drawing/2010/main" val="0"/>
                              </a:ext>
                            </a:extLst>
                          </a:blip>
                          <a:stretch>
                            <a:fillRect/>
                          </a:stretch>
                        </pic:blipFill>
                        <pic:spPr>
                          <a:xfrm>
                            <a:off x="0" y="0"/>
                            <a:ext cx="342900" cy="333375"/>
                          </a:xfrm>
                          <a:prstGeom prst="rect">
                            <a:avLst/>
                          </a:prstGeom>
                        </pic:spPr>
                      </pic:pic>
                    </a:graphicData>
                  </a:graphic>
                </wp:inline>
              </w:drawing>
            </w:r>
          </w:p>
        </w:tc>
      </w:tr>
      <w:tr w:rsidR="006C4C1F" w14:paraId="5E91A47F" w14:textId="77777777" w:rsidTr="228950F6">
        <w:trPr>
          <w:cantSplit/>
        </w:trPr>
        <w:tc>
          <w:tcPr>
            <w:tcW w:w="9360" w:type="dxa"/>
            <w:gridSpan w:val="2"/>
            <w:tcBorders>
              <w:top w:val="nil"/>
              <w:left w:val="nil"/>
              <w:right w:val="nil"/>
            </w:tcBorders>
            <w:shd w:val="clear" w:color="auto" w:fill="F8F8F8"/>
            <w:tcMar>
              <w:top w:w="0" w:type="dxa"/>
              <w:left w:w="115" w:type="dxa"/>
              <w:bottom w:w="58" w:type="dxa"/>
              <w:right w:w="115" w:type="dxa"/>
            </w:tcMar>
          </w:tcPr>
          <w:p w14:paraId="46BC313C" w14:textId="440FFEE4" w:rsidR="006C4C1F" w:rsidRDefault="006C4C1F" w:rsidP="006C4C1F">
            <w:pPr>
              <w:pStyle w:val="TableText"/>
              <w:spacing w:before="0"/>
              <w:rPr>
                <w:lang w:val="en-CA" w:eastAsia="en-CA"/>
              </w:rPr>
            </w:pPr>
            <w:r w:rsidRPr="003F5431">
              <w:rPr>
                <w:lang w:val="en-CA" w:eastAsia="en-CA"/>
              </w:rPr>
              <w:t>This integration can occur through conformance to the following specification:</w:t>
            </w:r>
            <w:r>
              <w:rPr>
                <w:lang w:val="en-CA" w:eastAsia="en-CA"/>
              </w:rPr>
              <w:t xml:space="preserve"> </w:t>
            </w:r>
            <w:hyperlink r:id="rId47" w:history="1">
              <w:r w:rsidRPr="00BA359F">
                <w:rPr>
                  <w:rStyle w:val="Hyperlink"/>
                  <w:lang w:val="en-CA" w:eastAsia="en-CA"/>
                </w:rPr>
                <w:t>Diagnostic Imaging Common Service Standard (DI CS)</w:t>
              </w:r>
            </w:hyperlink>
            <w:r w:rsidR="004413E5">
              <w:rPr>
                <w:rStyle w:val="Hyperlink"/>
                <w:lang w:val="en-CA" w:eastAsia="en-CA"/>
              </w:rPr>
              <w:t>.</w:t>
            </w:r>
          </w:p>
          <w:p w14:paraId="3A74C14D" w14:textId="017528E1" w:rsidR="006C4C1F" w:rsidRPr="00DE5131" w:rsidRDefault="006C4C1F" w:rsidP="006C4C1F">
            <w:pPr>
              <w:pStyle w:val="TableText"/>
              <w:rPr>
                <w:lang w:val="en-CA" w:eastAsia="en-CA"/>
              </w:rPr>
            </w:pPr>
            <w:r w:rsidRPr="00DE5131">
              <w:rPr>
                <w:lang w:val="en-CA" w:eastAsia="en-CA"/>
              </w:rPr>
              <w:t>For additional details on how DI CS is implemented, see</w:t>
            </w:r>
            <w:r w:rsidRPr="006C4C1F">
              <w:rPr>
                <w:i/>
                <w:lang w:val="en-CA" w:eastAsia="en-CA"/>
              </w:rPr>
              <w:t xml:space="preserve">: </w:t>
            </w:r>
            <w:hyperlink r:id="rId48" w:history="1">
              <w:r w:rsidRPr="00C27827">
                <w:rPr>
                  <w:rStyle w:val="Hyperlink"/>
                  <w:i/>
                  <w:lang w:val="en-CA" w:eastAsia="en-CA"/>
                </w:rPr>
                <w:t>IHE IT Infrastructure Technical Framework, Volume 1 (ITI TF-1)</w:t>
              </w:r>
            </w:hyperlink>
            <w:r w:rsidRPr="006C4C1F">
              <w:rPr>
                <w:i/>
                <w:lang w:val="en-CA" w:eastAsia="en-CA"/>
              </w:rPr>
              <w:t>: Integration Profiles 2.2.10 Cross-Enterprise Document Sharing (XDS)</w:t>
            </w:r>
            <w:r w:rsidR="00513667">
              <w:rPr>
                <w:i/>
                <w:lang w:val="en-CA" w:eastAsia="en-CA"/>
              </w:rPr>
              <w:t>.</w:t>
            </w:r>
          </w:p>
          <w:p w14:paraId="2C2868FC" w14:textId="77777777" w:rsidR="006C4C1F" w:rsidRPr="00DE5131" w:rsidRDefault="006C4C1F" w:rsidP="006C4C1F">
            <w:pPr>
              <w:pStyle w:val="TableText"/>
              <w:keepNext/>
              <w:rPr>
                <w:lang w:val="en-CA" w:eastAsia="en-CA"/>
              </w:rPr>
            </w:pPr>
            <w:r w:rsidRPr="00DE5131">
              <w:rPr>
                <w:lang w:val="en-CA" w:eastAsia="en-CA"/>
              </w:rPr>
              <w:t>Image retrieval specifications include:</w:t>
            </w:r>
          </w:p>
          <w:p w14:paraId="5C47FBB9" w14:textId="5E8355AE" w:rsidR="006C4C1F" w:rsidRPr="006C4C1F" w:rsidRDefault="006C4C1F" w:rsidP="00274867">
            <w:pPr>
              <w:pStyle w:val="TableText"/>
              <w:numPr>
                <w:ilvl w:val="0"/>
                <w:numId w:val="30"/>
              </w:numPr>
              <w:ind w:left="545" w:hanging="185"/>
              <w:rPr>
                <w:b/>
                <w:sz w:val="20"/>
                <w:szCs w:val="20"/>
                <w:lang w:val="en-CA" w:eastAsia="en-CA"/>
              </w:rPr>
            </w:pPr>
            <w:r w:rsidRPr="00DE5131">
              <w:rPr>
                <w:lang w:val="en-CA" w:eastAsia="en-CA"/>
              </w:rPr>
              <w:t>Digital Imaging and Communications in Medicine (DICOM)</w:t>
            </w:r>
            <w:r w:rsidR="00513667">
              <w:rPr>
                <w:lang w:val="en-CA" w:eastAsia="en-CA"/>
              </w:rPr>
              <w:t>;</w:t>
            </w:r>
          </w:p>
          <w:p w14:paraId="379808AD" w14:textId="41116B7C" w:rsidR="006C4C1F" w:rsidRDefault="006C4C1F" w:rsidP="00274867">
            <w:pPr>
              <w:pStyle w:val="TableText"/>
              <w:numPr>
                <w:ilvl w:val="0"/>
                <w:numId w:val="30"/>
              </w:numPr>
              <w:ind w:left="545" w:hanging="185"/>
              <w:rPr>
                <w:b/>
                <w:sz w:val="20"/>
                <w:szCs w:val="20"/>
                <w:lang w:val="en-CA" w:eastAsia="en-CA"/>
              </w:rPr>
            </w:pPr>
            <w:r w:rsidRPr="00DE5131">
              <w:rPr>
                <w:lang w:val="en-CA" w:eastAsia="en-CA"/>
              </w:rPr>
              <w:t>Web Access to DICOM Persistent Objects (WADO)</w:t>
            </w:r>
            <w:r w:rsidR="00513667">
              <w:rPr>
                <w:lang w:val="en-CA" w:eastAsia="en-CA"/>
              </w:rPr>
              <w:t>.</w:t>
            </w:r>
          </w:p>
        </w:tc>
      </w:tr>
      <w:tr w:rsidR="006C4C1F" w14:paraId="55C6FC02" w14:textId="5B036BFF" w:rsidTr="228950F6">
        <w:tc>
          <w:tcPr>
            <w:tcW w:w="9360" w:type="dxa"/>
            <w:gridSpan w:val="2"/>
            <w:tcBorders>
              <w:left w:val="nil"/>
              <w:right w:val="nil"/>
            </w:tcBorders>
            <w:tcMar>
              <w:top w:w="58" w:type="dxa"/>
              <w:left w:w="115" w:type="dxa"/>
              <w:bottom w:w="58" w:type="dxa"/>
              <w:right w:w="115" w:type="dxa"/>
            </w:tcMar>
          </w:tcPr>
          <w:p w14:paraId="21F07ED0" w14:textId="0E1488FD" w:rsidR="006C4C1F" w:rsidRPr="006C4C1F" w:rsidRDefault="00B051A5" w:rsidP="00C61335">
            <w:pPr>
              <w:pStyle w:val="TableText"/>
              <w:rPr>
                <w:b/>
                <w:sz w:val="20"/>
                <w:szCs w:val="20"/>
                <w:lang w:val="en-CA" w:eastAsia="en-CA"/>
              </w:rPr>
            </w:pPr>
            <w:r>
              <w:rPr>
                <w:b/>
                <w:sz w:val="20"/>
                <w:szCs w:val="20"/>
                <w:lang w:val="en-CA" w:eastAsia="en-CA"/>
              </w:rPr>
              <w:t xml:space="preserve">Expected Response </w:t>
            </w:r>
            <w:r w:rsidR="005A6B69">
              <w:rPr>
                <w:b/>
                <w:sz w:val="20"/>
                <w:szCs w:val="20"/>
                <w:lang w:val="en-CA" w:eastAsia="en-CA"/>
              </w:rPr>
              <w:t>f</w:t>
            </w:r>
            <w:r w:rsidR="006C4C1F" w:rsidRPr="006C4C1F">
              <w:rPr>
                <w:b/>
                <w:sz w:val="20"/>
                <w:szCs w:val="20"/>
                <w:lang w:val="en-CA" w:eastAsia="en-CA"/>
              </w:rPr>
              <w:t>rom Vendor</w:t>
            </w:r>
          </w:p>
          <w:p w14:paraId="2D52FBC4" w14:textId="4EAC43E7" w:rsidR="006C4C1F" w:rsidRPr="00DE5131" w:rsidRDefault="006C4C1F" w:rsidP="00410D4F">
            <w:pPr>
              <w:pStyle w:val="TableText"/>
              <w:rPr>
                <w:lang w:val="en-CA" w:eastAsia="en-CA"/>
              </w:rPr>
            </w:pPr>
            <w:r w:rsidRPr="00DE5131">
              <w:rPr>
                <w:lang w:val="en-CA" w:eastAsia="en-CA"/>
              </w:rPr>
              <w:t>Preference will be given to responses that demonstrate previous experience with integrating DI Report repositories in other implementations and implementing with the above listed specifications.</w:t>
            </w:r>
          </w:p>
        </w:tc>
      </w:tr>
      <w:tr w:rsidR="006C4C1F" w14:paraId="664A340B" w14:textId="2063E257" w:rsidTr="228950F6">
        <w:tc>
          <w:tcPr>
            <w:tcW w:w="9360" w:type="dxa"/>
            <w:gridSpan w:val="2"/>
            <w:tcBorders>
              <w:left w:val="nil"/>
              <w:right w:val="nil"/>
            </w:tcBorders>
            <w:shd w:val="clear" w:color="auto" w:fill="F8F8F8"/>
            <w:tcMar>
              <w:top w:w="58" w:type="dxa"/>
              <w:left w:w="115" w:type="dxa"/>
              <w:bottom w:w="58" w:type="dxa"/>
              <w:right w:w="115" w:type="dxa"/>
            </w:tcMar>
          </w:tcPr>
          <w:p w14:paraId="12FA4456" w14:textId="232A1903" w:rsidR="006C4C1F" w:rsidRPr="006C4C1F" w:rsidRDefault="006C4C1F" w:rsidP="00DE5131">
            <w:pPr>
              <w:pStyle w:val="TableText"/>
              <w:rPr>
                <w:b/>
                <w:sz w:val="20"/>
                <w:szCs w:val="20"/>
                <w:lang w:val="en-CA" w:eastAsia="en-CA"/>
              </w:rPr>
            </w:pPr>
            <w:r w:rsidRPr="006C4C1F">
              <w:rPr>
                <w:b/>
                <w:sz w:val="20"/>
                <w:szCs w:val="20"/>
                <w:lang w:val="en-CA" w:eastAsia="en-CA"/>
              </w:rPr>
              <w:t>Rationale</w:t>
            </w:r>
          </w:p>
          <w:p w14:paraId="261C3FC8" w14:textId="136279EF" w:rsidR="006C4C1F" w:rsidRPr="00DE5131" w:rsidRDefault="006C4C1F" w:rsidP="00DE5131">
            <w:pPr>
              <w:pStyle w:val="TableText"/>
              <w:rPr>
                <w:lang w:val="en-CA" w:eastAsia="en-CA"/>
              </w:rPr>
            </w:pPr>
            <w:r w:rsidRPr="00DE5131">
              <w:rPr>
                <w:lang w:val="en-CA" w:eastAsia="en-CA"/>
              </w:rPr>
              <w:t>Diagnostic imaging repositories contain healthcare client diagnostic imaging reports and digital images such as x-rays, magnetic resonance imaging (MRIs), and ultrasounds. There are four diagnostic imaging repositories in Ontario (known as DI-Rs), each serving a different geographical area in the province.</w:t>
            </w:r>
          </w:p>
          <w:p w14:paraId="32EEE4B8" w14:textId="5A0B2A99" w:rsidR="006C4C1F" w:rsidRPr="00DE5131" w:rsidRDefault="006C4C1F" w:rsidP="00513667">
            <w:pPr>
              <w:pStyle w:val="TableText"/>
              <w:rPr>
                <w:lang w:val="en-CA" w:eastAsia="en-CA"/>
              </w:rPr>
            </w:pPr>
            <w:r w:rsidRPr="00DE5131">
              <w:rPr>
                <w:lang w:val="en-CA" w:eastAsia="en-CA"/>
              </w:rPr>
              <w:t>DI Common Services will provide a way of searching and exchanging diagnostic images and reports from across all the repositories</w:t>
            </w:r>
            <w:r w:rsidR="00513667">
              <w:rPr>
                <w:lang w:val="en-CA" w:eastAsia="en-CA"/>
              </w:rPr>
              <w:t>.</w:t>
            </w:r>
            <w:r w:rsidRPr="00DE5131">
              <w:rPr>
                <w:lang w:val="en-CA" w:eastAsia="en-CA"/>
              </w:rPr>
              <w:t xml:space="preserve"> </w:t>
            </w:r>
            <w:r w:rsidR="00513667">
              <w:rPr>
                <w:lang w:val="en-CA" w:eastAsia="en-CA"/>
              </w:rPr>
              <w:t>It will</w:t>
            </w:r>
            <w:r w:rsidR="00513667" w:rsidRPr="00DE5131">
              <w:rPr>
                <w:lang w:val="en-CA" w:eastAsia="en-CA"/>
              </w:rPr>
              <w:t xml:space="preserve"> </w:t>
            </w:r>
            <w:r w:rsidRPr="00DE5131">
              <w:rPr>
                <w:lang w:val="en-CA" w:eastAsia="en-CA"/>
              </w:rPr>
              <w:t>leverage common services, an XDS-I registry and repository, consent, and audit. POS solutions (</w:t>
            </w:r>
            <w:r w:rsidR="00513667">
              <w:rPr>
                <w:lang w:val="en-CA" w:eastAsia="en-CA"/>
              </w:rPr>
              <w:t>e.g</w:t>
            </w:r>
            <w:r w:rsidRPr="00DE5131">
              <w:rPr>
                <w:lang w:val="en-CA" w:eastAsia="en-CA"/>
              </w:rPr>
              <w:t>.</w:t>
            </w:r>
            <w:r>
              <w:rPr>
                <w:lang w:val="en-CA" w:eastAsia="en-CA"/>
              </w:rPr>
              <w:t>,</w:t>
            </w:r>
            <w:r w:rsidRPr="00DE5131">
              <w:rPr>
                <w:lang w:val="en-CA" w:eastAsia="en-CA"/>
              </w:rPr>
              <w:t xml:space="preserve"> HIS) may have to consider how this would complement their existing Radiology Information Systems (RIS).</w:t>
            </w:r>
          </w:p>
        </w:tc>
      </w:tr>
    </w:tbl>
    <w:p w14:paraId="7C5C94F1" w14:textId="79CC4AEB" w:rsidR="00690901" w:rsidRDefault="00690901" w:rsidP="00D94776">
      <w:pPr>
        <w:pStyle w:val="Heading1"/>
      </w:pPr>
      <w:bookmarkStart w:id="40" w:name="_Toc40269787"/>
      <w:bookmarkStart w:id="41" w:name="_Toc40269788"/>
      <w:bookmarkStart w:id="42" w:name="_Toc40269789"/>
      <w:bookmarkStart w:id="43" w:name="_Toc40269812"/>
      <w:bookmarkStart w:id="44" w:name="_Toc40269828"/>
      <w:bookmarkStart w:id="45" w:name="_Toc40269829"/>
      <w:bookmarkStart w:id="46" w:name="_Toc40269856"/>
      <w:bookmarkStart w:id="47" w:name="_Toc40269871"/>
      <w:bookmarkStart w:id="48" w:name="_Toc40269872"/>
      <w:bookmarkStart w:id="49" w:name="_Toc40269873"/>
      <w:bookmarkStart w:id="50" w:name="_Toc54610998"/>
      <w:bookmarkEnd w:id="40"/>
      <w:bookmarkEnd w:id="41"/>
      <w:bookmarkEnd w:id="42"/>
      <w:bookmarkEnd w:id="43"/>
      <w:bookmarkEnd w:id="44"/>
      <w:bookmarkEnd w:id="45"/>
      <w:bookmarkEnd w:id="46"/>
      <w:bookmarkEnd w:id="47"/>
      <w:bookmarkEnd w:id="48"/>
      <w:bookmarkEnd w:id="49"/>
      <w:r>
        <w:t>S</w:t>
      </w:r>
      <w:r w:rsidR="008E3BA9">
        <w:t>ecure Communication Requirements</w:t>
      </w:r>
      <w:bookmarkEnd w:id="50"/>
    </w:p>
    <w:tbl>
      <w:tblPr>
        <w:tblStyle w:val="TableGrid"/>
        <w:tblW w:w="9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ayout w:type="fixed"/>
        <w:tblLook w:val="04A0" w:firstRow="1" w:lastRow="0" w:firstColumn="1" w:lastColumn="0" w:noHBand="0" w:noVBand="1"/>
      </w:tblPr>
      <w:tblGrid>
        <w:gridCol w:w="900"/>
        <w:gridCol w:w="8364"/>
      </w:tblGrid>
      <w:tr w:rsidR="001A2CEC" w14:paraId="0ECEA957" w14:textId="77777777" w:rsidTr="228950F6">
        <w:tc>
          <w:tcPr>
            <w:tcW w:w="900" w:type="dxa"/>
            <w:shd w:val="clear" w:color="auto" w:fill="EEECE1" w:themeFill="background2"/>
          </w:tcPr>
          <w:p w14:paraId="070C4E82" w14:textId="21C909AA" w:rsidR="001A2CEC" w:rsidRPr="00B43C7D" w:rsidRDefault="00CB5341" w:rsidP="00805359">
            <w:pPr>
              <w:pStyle w:val="Body"/>
            </w:pPr>
            <w:r>
              <w:rPr>
                <w:rFonts w:ascii="Medium-65" w:hAnsi="Medium-65" w:cs="Arial"/>
                <w:noProof/>
                <w:color w:val="6D6D6D"/>
                <w:sz w:val="21"/>
                <w:szCs w:val="21"/>
              </w:rPr>
              <w:drawing>
                <wp:inline distT="0" distB="0" distL="0" distR="0" wp14:anchorId="2D85F419" wp14:editId="64643B13">
                  <wp:extent cx="486069" cy="486069"/>
                  <wp:effectExtent l="0" t="0" r="9525" b="0"/>
                  <wp:docPr id="25" name="Picture 25" descr="Communication Icon 1970152">
                    <a:hlinkClick xmlns:a="http://schemas.openxmlformats.org/drawingml/2006/main" r:id="rId49" tooltip="&quot;Commun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munication Icon 1970152">
                            <a:hlinkClick r:id="rId49" tooltip="&quot;Communication&quot;"/>
                          </pic:cNvPr>
                          <pic:cNvPicPr>
                            <a:picLocks noChangeAspect="1" noChangeArrowheads="1"/>
                          </pic:cNvPicPr>
                        </pic:nvPicPr>
                        <pic:blipFill>
                          <a:blip r:embed="rId50" cstate="screen">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5363" cy="495363"/>
                          </a:xfrm>
                          <a:prstGeom prst="rect">
                            <a:avLst/>
                          </a:prstGeom>
                          <a:noFill/>
                          <a:ln>
                            <a:noFill/>
                          </a:ln>
                        </pic:spPr>
                      </pic:pic>
                    </a:graphicData>
                  </a:graphic>
                </wp:inline>
              </w:drawing>
            </w:r>
          </w:p>
        </w:tc>
        <w:tc>
          <w:tcPr>
            <w:tcW w:w="8364" w:type="dxa"/>
            <w:shd w:val="clear" w:color="auto" w:fill="EEECE1" w:themeFill="background2"/>
            <w:vAlign w:val="center"/>
          </w:tcPr>
          <w:p w14:paraId="7E2C9149" w14:textId="3939AD8E" w:rsidR="001A2CEC" w:rsidRPr="00654F4B" w:rsidRDefault="001A2CEC" w:rsidP="00CB5341">
            <w:pPr>
              <w:pStyle w:val="Body"/>
              <w:spacing w:line="240" w:lineRule="auto"/>
              <w:rPr>
                <w:color w:val="404040" w:themeColor="text1" w:themeTint="BF"/>
                <w:spacing w:val="-2"/>
                <w:sz w:val="20"/>
                <w:szCs w:val="20"/>
              </w:rPr>
            </w:pPr>
            <w:r w:rsidRPr="00917C5A">
              <w:rPr>
                <w:color w:val="404040" w:themeColor="text1" w:themeTint="BF"/>
                <w:spacing w:val="-2"/>
                <w:sz w:val="20"/>
                <w:szCs w:val="20"/>
              </w:rPr>
              <w:t xml:space="preserve">The following </w:t>
            </w:r>
            <w:r w:rsidRPr="009B7A32">
              <w:rPr>
                <w:color w:val="404040" w:themeColor="text1" w:themeTint="BF"/>
                <w:spacing w:val="-2"/>
                <w:sz w:val="20"/>
                <w:szCs w:val="20"/>
              </w:rPr>
              <w:t xml:space="preserve">requirements for </w:t>
            </w:r>
            <w:r w:rsidRPr="009B7A32">
              <w:rPr>
                <w:rFonts w:asciiTheme="minorHAnsi" w:hAnsiTheme="minorHAnsi"/>
                <w:b/>
                <w:color w:val="C05B08"/>
                <w:spacing w:val="-2"/>
                <w:sz w:val="18"/>
                <w:szCs w:val="18"/>
              </w:rPr>
              <w:t>s</w:t>
            </w:r>
            <w:r w:rsidR="00CB5341">
              <w:rPr>
                <w:rFonts w:asciiTheme="minorHAnsi" w:hAnsiTheme="minorHAnsi"/>
                <w:b/>
                <w:color w:val="C05B08"/>
                <w:spacing w:val="-2"/>
                <w:sz w:val="18"/>
                <w:szCs w:val="18"/>
              </w:rPr>
              <w:t xml:space="preserve">ecure communication </w:t>
            </w:r>
            <w:r w:rsidRPr="009B7A32">
              <w:rPr>
                <w:color w:val="404040" w:themeColor="text1" w:themeTint="BF"/>
                <w:spacing w:val="-2"/>
                <w:sz w:val="20"/>
                <w:szCs w:val="20"/>
              </w:rPr>
              <w:t xml:space="preserve">with </w:t>
            </w:r>
            <w:r w:rsidRPr="00917C5A">
              <w:rPr>
                <w:rFonts w:asciiTheme="minorHAnsi" w:hAnsiTheme="minorHAnsi"/>
                <w:b/>
                <w:color w:val="C05B08"/>
                <w:spacing w:val="-2"/>
                <w:sz w:val="18"/>
                <w:szCs w:val="18"/>
              </w:rPr>
              <w:t>EHR assets</w:t>
            </w:r>
            <w:r w:rsidRPr="00917C5A">
              <w:rPr>
                <w:color w:val="404040" w:themeColor="text1" w:themeTint="BF"/>
                <w:spacing w:val="-2"/>
                <w:sz w:val="20"/>
                <w:szCs w:val="20"/>
              </w:rPr>
              <w:t xml:space="preserve"> are provided as guidance to organizations planning POS s</w:t>
            </w:r>
            <w:r w:rsidR="00CB5341">
              <w:rPr>
                <w:color w:val="404040" w:themeColor="text1" w:themeTint="BF"/>
                <w:spacing w:val="-2"/>
                <w:sz w:val="20"/>
                <w:szCs w:val="20"/>
              </w:rPr>
              <w:t>ystem procurement.</w:t>
            </w:r>
          </w:p>
        </w:tc>
      </w:tr>
    </w:tbl>
    <w:p w14:paraId="7A3082D9" w14:textId="3EC66B38" w:rsidR="00CB5341" w:rsidRDefault="00CB5341" w:rsidP="00CB5341">
      <w:pPr>
        <w:pStyle w:val="Body"/>
        <w:spacing w:before="180" w:after="40"/>
      </w:pPr>
      <w:r>
        <w:t>Topics in this section include:</w:t>
      </w:r>
    </w:p>
    <w:p w14:paraId="5D0C1B29" w14:textId="68592FA0" w:rsidR="00CB5341" w:rsidRDefault="001F2E21" w:rsidP="00CB5341">
      <w:pPr>
        <w:pStyle w:val="Body"/>
        <w:numPr>
          <w:ilvl w:val="0"/>
          <w:numId w:val="39"/>
        </w:numPr>
        <w:spacing w:before="40" w:after="40"/>
      </w:pPr>
      <w:r>
        <w:t>HIAL and ONE Access Gateway</w:t>
      </w:r>
      <w:r w:rsidDel="00DC71E2">
        <w:t xml:space="preserve"> </w:t>
      </w:r>
      <w:r w:rsidR="00CB5341">
        <w:t>Transp</w:t>
      </w:r>
      <w:r w:rsidR="00FF6F99">
        <w:t xml:space="preserve">ort Interoperability: Section </w:t>
      </w:r>
      <w:r w:rsidR="00FF6F99">
        <w:fldChar w:fldCharType="begin"/>
      </w:r>
      <w:r w:rsidR="00FF6F99">
        <w:instrText xml:space="preserve"> REF _Ref40878690 \r \h </w:instrText>
      </w:r>
      <w:r w:rsidR="00FF6F99">
        <w:fldChar w:fldCharType="separate"/>
      </w:r>
      <w:r w:rsidR="00994D49">
        <w:t>5.1</w:t>
      </w:r>
      <w:r w:rsidR="00FF6F99">
        <w:fldChar w:fldCharType="end"/>
      </w:r>
      <w:r w:rsidR="00CB5341">
        <w:t>;</w:t>
      </w:r>
    </w:p>
    <w:p w14:paraId="1A1D4EF2" w14:textId="7C487DC5" w:rsidR="00CB5341" w:rsidRDefault="00CB5341" w:rsidP="00CB5341">
      <w:pPr>
        <w:pStyle w:val="Body"/>
        <w:numPr>
          <w:ilvl w:val="0"/>
          <w:numId w:val="39"/>
        </w:numPr>
        <w:spacing w:before="40" w:after="40"/>
      </w:pPr>
      <w:r>
        <w:t>EHR Security Po</w:t>
      </w:r>
      <w:r w:rsidR="00FF6F99">
        <w:t>licies and Standards: Section</w:t>
      </w:r>
      <w:r w:rsidR="00FB70A4">
        <w:t xml:space="preserve"> </w:t>
      </w:r>
      <w:r w:rsidR="00FB70A4">
        <w:fldChar w:fldCharType="begin"/>
      </w:r>
      <w:r w:rsidR="00FB70A4">
        <w:instrText xml:space="preserve"> REF _Ref41304545 \r \h </w:instrText>
      </w:r>
      <w:r w:rsidR="00FB70A4">
        <w:fldChar w:fldCharType="separate"/>
      </w:r>
      <w:r w:rsidR="00994D49">
        <w:t>5.2</w:t>
      </w:r>
      <w:r w:rsidR="00FB70A4">
        <w:fldChar w:fldCharType="end"/>
      </w:r>
      <w:r>
        <w:t>;</w:t>
      </w:r>
    </w:p>
    <w:p w14:paraId="134363D3" w14:textId="23042A8B" w:rsidR="001F2E21" w:rsidRDefault="00CB5341" w:rsidP="00CB5341">
      <w:pPr>
        <w:pStyle w:val="Body"/>
        <w:numPr>
          <w:ilvl w:val="0"/>
          <w:numId w:val="39"/>
        </w:numPr>
        <w:spacing w:before="40" w:after="40"/>
      </w:pPr>
      <w:r>
        <w:t xml:space="preserve">Health </w:t>
      </w:r>
      <w:r w:rsidR="00FF6F99">
        <w:t xml:space="preserve">Report Manager (HRM): Section </w:t>
      </w:r>
      <w:r w:rsidR="00FF6F99">
        <w:fldChar w:fldCharType="begin"/>
      </w:r>
      <w:r w:rsidR="00FF6F99">
        <w:instrText xml:space="preserve"> REF _Ref40878703 \r \h </w:instrText>
      </w:r>
      <w:r w:rsidR="00FF6F99">
        <w:fldChar w:fldCharType="separate"/>
      </w:r>
      <w:r w:rsidR="00994D49">
        <w:t>5.3</w:t>
      </w:r>
      <w:r w:rsidR="00FF6F99">
        <w:fldChar w:fldCharType="end"/>
      </w:r>
      <w:r w:rsidR="001F2E21">
        <w:t>;</w:t>
      </w:r>
    </w:p>
    <w:p w14:paraId="150AB527" w14:textId="6658409E" w:rsidR="001F2E21" w:rsidRDefault="001F2E21" w:rsidP="00CB5341">
      <w:pPr>
        <w:pStyle w:val="Body"/>
        <w:numPr>
          <w:ilvl w:val="0"/>
          <w:numId w:val="39"/>
        </w:numPr>
        <w:spacing w:before="40" w:after="40"/>
      </w:pPr>
      <w:r>
        <w:t>eNotifications to Home and Community Care &amp; HRM: Section 5.4;</w:t>
      </w:r>
    </w:p>
    <w:p w14:paraId="2E280583" w14:textId="23DF7E3B" w:rsidR="00CB5341" w:rsidRDefault="001F2E21" w:rsidP="00CB5341">
      <w:pPr>
        <w:pStyle w:val="Body"/>
        <w:numPr>
          <w:ilvl w:val="0"/>
          <w:numId w:val="39"/>
        </w:numPr>
        <w:spacing w:before="40" w:after="40"/>
      </w:pPr>
      <w:r>
        <w:t>eReferral to Home and Community Care: Section 5.5.</w:t>
      </w:r>
    </w:p>
    <w:p w14:paraId="38209B65" w14:textId="4FFA510F" w:rsidR="00AE7C02" w:rsidRDefault="00DC71E2" w:rsidP="00532D9D">
      <w:pPr>
        <w:pStyle w:val="Heading2"/>
        <w:spacing w:before="300" w:after="180"/>
      </w:pPr>
      <w:bookmarkStart w:id="51" w:name="_Ref40878690"/>
      <w:bookmarkStart w:id="52" w:name="_Toc54610999"/>
      <w:r>
        <w:t>HIAL and ONE Access Gateway</w:t>
      </w:r>
      <w:r w:rsidDel="00DC71E2">
        <w:t xml:space="preserve"> </w:t>
      </w:r>
      <w:r w:rsidR="00AE7C02">
        <w:t>Transport Interoperability</w:t>
      </w:r>
      <w:bookmarkEnd w:id="51"/>
      <w:bookmarkEnd w:id="52"/>
    </w:p>
    <w:tbl>
      <w:tblPr>
        <w:tblStyle w:val="TableGrid"/>
        <w:tblW w:w="0" w:type="auto"/>
        <w:tblLook w:val="04A0" w:firstRow="1" w:lastRow="0" w:firstColumn="1" w:lastColumn="0" w:noHBand="0" w:noVBand="1"/>
      </w:tblPr>
      <w:tblGrid>
        <w:gridCol w:w="6300"/>
        <w:gridCol w:w="3060"/>
      </w:tblGrid>
      <w:tr w:rsidR="00420228" w14:paraId="7A483EAC" w14:textId="77777777" w:rsidTr="228950F6">
        <w:tc>
          <w:tcPr>
            <w:tcW w:w="6300" w:type="dxa"/>
            <w:vMerge w:val="restart"/>
            <w:tcBorders>
              <w:top w:val="single" w:sz="4" w:space="0" w:color="auto"/>
              <w:left w:val="nil"/>
              <w:bottom w:val="nil"/>
              <w:right w:val="nil"/>
            </w:tcBorders>
            <w:shd w:val="clear" w:color="auto" w:fill="F8F8F8"/>
            <w:tcMar>
              <w:top w:w="0" w:type="dxa"/>
              <w:left w:w="115" w:type="dxa"/>
              <w:bottom w:w="0" w:type="dxa"/>
              <w:right w:w="115" w:type="dxa"/>
            </w:tcMar>
          </w:tcPr>
          <w:p w14:paraId="5A1230F1" w14:textId="77777777" w:rsidR="00420228" w:rsidRPr="00532D9D" w:rsidRDefault="00420228" w:rsidP="00C626B9">
            <w:pPr>
              <w:pStyle w:val="TableText"/>
              <w:spacing w:before="80"/>
              <w:rPr>
                <w:b/>
                <w:sz w:val="20"/>
                <w:szCs w:val="20"/>
                <w:lang w:val="en-CA" w:eastAsia="en-CA"/>
              </w:rPr>
            </w:pPr>
            <w:r>
              <w:rPr>
                <w:b/>
                <w:sz w:val="20"/>
                <w:szCs w:val="20"/>
                <w:lang w:val="en-CA" w:eastAsia="en-CA"/>
              </w:rPr>
              <w:t>Description</w:t>
            </w:r>
          </w:p>
          <w:p w14:paraId="404D8C83" w14:textId="59C19FAE" w:rsidR="00420228" w:rsidRPr="00532D9D" w:rsidRDefault="00420228" w:rsidP="00B86A3D">
            <w:pPr>
              <w:pStyle w:val="TableText"/>
              <w:spacing w:after="0"/>
              <w:rPr>
                <w:b/>
                <w:sz w:val="20"/>
                <w:szCs w:val="20"/>
                <w:lang w:val="en-CA" w:eastAsia="en-CA"/>
              </w:rPr>
            </w:pPr>
            <w:r w:rsidRPr="005E7BFB">
              <w:rPr>
                <w:lang w:val="en-CA" w:eastAsia="en-CA"/>
              </w:rPr>
              <w:t xml:space="preserve">The POS solution will support common Health Information Access Layer (HIAL) </w:t>
            </w:r>
            <w:r>
              <w:rPr>
                <w:lang w:val="en-CA" w:eastAsia="en-CA"/>
              </w:rPr>
              <w:t>and ONE Access Gateway</w:t>
            </w:r>
            <w:r w:rsidR="00F2417C">
              <w:rPr>
                <w:lang w:val="en-CA" w:eastAsia="en-CA"/>
              </w:rPr>
              <w:t>-</w:t>
            </w:r>
            <w:r w:rsidRPr="005E7BFB">
              <w:rPr>
                <w:lang w:val="en-CA" w:eastAsia="en-CA"/>
              </w:rPr>
              <w:t>based connectivity and integration for access to provincial and regional EHR assets (described in other requirements).</w:t>
            </w:r>
          </w:p>
        </w:tc>
        <w:tc>
          <w:tcPr>
            <w:tcW w:w="3060" w:type="dxa"/>
            <w:tcBorders>
              <w:left w:val="nil"/>
              <w:bottom w:val="nil"/>
              <w:right w:val="nil"/>
            </w:tcBorders>
            <w:shd w:val="clear" w:color="auto" w:fill="F8F8F8"/>
          </w:tcPr>
          <w:p w14:paraId="7A145D32" w14:textId="77777777" w:rsidR="00420228" w:rsidRDefault="00420228" w:rsidP="00B86A3D">
            <w:pPr>
              <w:pStyle w:val="TableText"/>
              <w:spacing w:before="0" w:after="0"/>
              <w:rPr>
                <w:b/>
                <w:sz w:val="20"/>
                <w:szCs w:val="20"/>
                <w:lang w:val="en-CA" w:eastAsia="en-CA"/>
              </w:rPr>
            </w:pPr>
          </w:p>
        </w:tc>
      </w:tr>
      <w:tr w:rsidR="00420228" w14:paraId="68A9CBA3" w14:textId="1D240E6F" w:rsidTr="228950F6">
        <w:trPr>
          <w:trHeight w:val="625"/>
        </w:trPr>
        <w:tc>
          <w:tcPr>
            <w:tcW w:w="6300" w:type="dxa"/>
            <w:vMerge/>
            <w:tcMar>
              <w:top w:w="58" w:type="dxa"/>
              <w:left w:w="115" w:type="dxa"/>
              <w:bottom w:w="58" w:type="dxa"/>
              <w:right w:w="115" w:type="dxa"/>
            </w:tcMar>
          </w:tcPr>
          <w:p w14:paraId="052E9F81" w14:textId="36EEACA9" w:rsidR="00420228" w:rsidRDefault="00420228" w:rsidP="00274867">
            <w:pPr>
              <w:pStyle w:val="TableText"/>
              <w:numPr>
                <w:ilvl w:val="0"/>
                <w:numId w:val="34"/>
              </w:numPr>
              <w:rPr>
                <w:lang w:val="en-CA" w:eastAsia="en-CA"/>
              </w:rPr>
            </w:pPr>
          </w:p>
        </w:tc>
        <w:tc>
          <w:tcPr>
            <w:tcW w:w="3060" w:type="dxa"/>
            <w:tcBorders>
              <w:top w:val="nil"/>
              <w:left w:val="nil"/>
              <w:bottom w:val="nil"/>
              <w:right w:val="nil"/>
            </w:tcBorders>
            <w:shd w:val="clear" w:color="auto" w:fill="F8F8F8"/>
          </w:tcPr>
          <w:p w14:paraId="0B4A802F" w14:textId="63FCE418" w:rsidR="00420228" w:rsidRPr="00532D9D" w:rsidRDefault="00B86A3D" w:rsidP="00B86A3D">
            <w:pPr>
              <w:pStyle w:val="TableText"/>
              <w:spacing w:after="0"/>
              <w:rPr>
                <w:b/>
                <w:sz w:val="20"/>
                <w:szCs w:val="20"/>
                <w:lang w:val="en-CA" w:eastAsia="en-CA"/>
              </w:rPr>
            </w:pPr>
            <w:r>
              <w:rPr>
                <w:rFonts w:ascii="Medium-65" w:hAnsi="Medium-65" w:cs="Arial"/>
                <w:noProof/>
                <w:color w:val="6D6D6D"/>
                <w:sz w:val="21"/>
                <w:szCs w:val="21"/>
              </w:rPr>
              <w:drawing>
                <wp:inline distT="0" distB="0" distL="0" distR="0" wp14:anchorId="3E3C91CE" wp14:editId="25466DA3">
                  <wp:extent cx="555035" cy="373092"/>
                  <wp:effectExtent l="0" t="0" r="0" b="8255"/>
                  <wp:docPr id="26" name="Picture 26" descr="transport Icon 1575497">
                    <a:hlinkClick xmlns:a="http://schemas.openxmlformats.org/drawingml/2006/main" r:id="rId51" tooltip="&quot;transpo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nsport Icon 1575497">
                            <a:hlinkClick r:id="rId51" tooltip="&quot;transport&quot;"/>
                          </pic:cNvPr>
                          <pic:cNvPicPr>
                            <a:picLocks noChangeAspect="1" noChangeArrowheads="1"/>
                          </pic:cNvPicPr>
                        </pic:nvPicPr>
                        <pic:blipFill rotWithShape="1">
                          <a:blip r:embed="rId52" cstate="screen">
                            <a:duotone>
                              <a:schemeClr val="accent4">
                                <a:shade val="45000"/>
                                <a:satMod val="135000"/>
                              </a:schemeClr>
                              <a:prstClr val="white"/>
                            </a:duotone>
                            <a:extLst>
                              <a:ext uri="{28A0092B-C50C-407E-A947-70E740481C1C}">
                                <a14:useLocalDpi xmlns:a14="http://schemas.microsoft.com/office/drawing/2010/main" val="0"/>
                              </a:ext>
                            </a:extLst>
                          </a:blip>
                          <a:srcRect t="32780"/>
                          <a:stretch/>
                        </pic:blipFill>
                        <pic:spPr bwMode="auto">
                          <a:xfrm>
                            <a:off x="0" y="0"/>
                            <a:ext cx="556654" cy="3741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6A3D" w14:paraId="60C62803" w14:textId="77777777" w:rsidTr="228950F6">
        <w:tc>
          <w:tcPr>
            <w:tcW w:w="9360" w:type="dxa"/>
            <w:gridSpan w:val="2"/>
            <w:tcBorders>
              <w:top w:val="nil"/>
              <w:left w:val="nil"/>
              <w:right w:val="nil"/>
            </w:tcBorders>
            <w:shd w:val="clear" w:color="auto" w:fill="F8F8F8"/>
            <w:tcMar>
              <w:top w:w="0" w:type="dxa"/>
              <w:left w:w="115" w:type="dxa"/>
              <w:bottom w:w="58" w:type="dxa"/>
              <w:right w:w="115" w:type="dxa"/>
            </w:tcMar>
          </w:tcPr>
          <w:p w14:paraId="342565BA" w14:textId="1A2D95F5" w:rsidR="00B86A3D" w:rsidRPr="003F5431" w:rsidRDefault="00B86A3D" w:rsidP="00B86A3D">
            <w:pPr>
              <w:pStyle w:val="TableText"/>
              <w:spacing w:before="0"/>
              <w:rPr>
                <w:lang w:val="en-CA" w:eastAsia="en-CA"/>
              </w:rPr>
            </w:pPr>
            <w:r w:rsidRPr="003F5431">
              <w:rPr>
                <w:lang w:val="en-CA" w:eastAsia="en-CA"/>
              </w:rPr>
              <w:t>This integration can occur through conformance to the following specifications:</w:t>
            </w:r>
          </w:p>
          <w:p w14:paraId="19BC4EEA" w14:textId="0F5E18AC" w:rsidR="00B86A3D" w:rsidRDefault="00D92A6E" w:rsidP="008A47FA">
            <w:pPr>
              <w:pStyle w:val="TableText"/>
              <w:numPr>
                <w:ilvl w:val="0"/>
                <w:numId w:val="34"/>
              </w:numPr>
              <w:spacing w:before="20" w:after="20"/>
            </w:pPr>
            <w:hyperlink r:id="rId53" w:history="1">
              <w:r w:rsidR="00B86A3D" w:rsidRPr="00565E93">
                <w:rPr>
                  <w:rStyle w:val="Hyperlink"/>
                </w:rPr>
                <w:t>HIAL Transport and Message Specification</w:t>
              </w:r>
            </w:hyperlink>
            <w:r w:rsidR="00A02761">
              <w:rPr>
                <w:rStyle w:val="Hyperlink"/>
              </w:rPr>
              <w:t>;</w:t>
            </w:r>
          </w:p>
          <w:p w14:paraId="3AC63403" w14:textId="4CD609BF" w:rsidR="00B86A3D" w:rsidRPr="001D642B" w:rsidRDefault="00D92A6E" w:rsidP="00F2417C">
            <w:pPr>
              <w:pStyle w:val="TableText"/>
              <w:numPr>
                <w:ilvl w:val="0"/>
                <w:numId w:val="34"/>
              </w:numPr>
              <w:spacing w:before="20" w:after="20"/>
              <w:rPr>
                <w:b/>
                <w:sz w:val="20"/>
                <w:szCs w:val="20"/>
                <w:lang w:val="en-CA" w:eastAsia="en-CA"/>
              </w:rPr>
            </w:pPr>
            <w:hyperlink r:id="rId54" w:history="1">
              <w:r w:rsidR="00B86A3D" w:rsidRPr="00815E75">
                <w:rPr>
                  <w:rStyle w:val="Hyperlink"/>
                </w:rPr>
                <w:t>ONE Access Gateway Transport Specification</w:t>
              </w:r>
            </w:hyperlink>
            <w:r w:rsidR="00F2417C">
              <w:rPr>
                <w:rStyle w:val="Hyperlink"/>
                <w:rFonts w:ascii="Georgia" w:hAnsi="Georgia"/>
                <w:spacing w:val="0"/>
              </w:rPr>
              <w:t>.</w:t>
            </w:r>
          </w:p>
        </w:tc>
      </w:tr>
      <w:tr w:rsidR="00C626B9" w14:paraId="42406D1C" w14:textId="29E5B5C2" w:rsidTr="228950F6">
        <w:tc>
          <w:tcPr>
            <w:tcW w:w="9360" w:type="dxa"/>
            <w:gridSpan w:val="2"/>
            <w:tcBorders>
              <w:left w:val="nil"/>
              <w:right w:val="nil"/>
            </w:tcBorders>
            <w:tcMar>
              <w:top w:w="58" w:type="dxa"/>
              <w:left w:w="115" w:type="dxa"/>
              <w:bottom w:w="58" w:type="dxa"/>
              <w:right w:w="115" w:type="dxa"/>
            </w:tcMar>
          </w:tcPr>
          <w:p w14:paraId="7B69D067" w14:textId="545CD521" w:rsidR="00C626B9" w:rsidRPr="00532D9D" w:rsidRDefault="00C626B9">
            <w:pPr>
              <w:pStyle w:val="TableText"/>
              <w:rPr>
                <w:b/>
                <w:sz w:val="20"/>
                <w:szCs w:val="20"/>
                <w:lang w:val="en-CA" w:eastAsia="en-CA"/>
              </w:rPr>
            </w:pPr>
            <w:r>
              <w:rPr>
                <w:b/>
                <w:sz w:val="20"/>
                <w:szCs w:val="20"/>
                <w:lang w:val="en-CA" w:eastAsia="en-CA"/>
              </w:rPr>
              <w:t xml:space="preserve">Expected Response </w:t>
            </w:r>
            <w:r w:rsidR="00F2417C">
              <w:rPr>
                <w:b/>
                <w:sz w:val="20"/>
                <w:szCs w:val="20"/>
                <w:lang w:val="en-CA" w:eastAsia="en-CA"/>
              </w:rPr>
              <w:t>f</w:t>
            </w:r>
            <w:r w:rsidRPr="00532D9D">
              <w:rPr>
                <w:b/>
                <w:sz w:val="20"/>
                <w:szCs w:val="20"/>
                <w:lang w:val="en-CA" w:eastAsia="en-CA"/>
              </w:rPr>
              <w:t>rom Vendor</w:t>
            </w:r>
          </w:p>
          <w:p w14:paraId="6C7AA06D" w14:textId="53C435DA" w:rsidR="00C626B9" w:rsidRDefault="00C626B9" w:rsidP="00410D4F">
            <w:pPr>
              <w:pStyle w:val="TableText"/>
              <w:rPr>
                <w:b/>
                <w:sz w:val="20"/>
                <w:szCs w:val="20"/>
                <w:lang w:val="en-CA" w:eastAsia="en-CA"/>
              </w:rPr>
            </w:pPr>
            <w:r w:rsidRPr="005E7BFB">
              <w:rPr>
                <w:lang w:val="en-CA" w:eastAsia="en-CA"/>
              </w:rPr>
              <w:t>Preference will be given to responses that demonstrate conformance to these specifications and provide descriptions of past implementations with other POS integration efforts. The SOAP and WS technical standards form a common set of interoperability specifications used by the HIAL</w:t>
            </w:r>
            <w:r>
              <w:rPr>
                <w:lang w:val="en-CA" w:eastAsia="en-CA"/>
              </w:rPr>
              <w:t xml:space="preserve">, while </w:t>
            </w:r>
            <w:r w:rsidRPr="006B30B1">
              <w:rPr>
                <w:lang w:val="en-CA" w:eastAsia="en-CA"/>
              </w:rPr>
              <w:t xml:space="preserve">OpenID Connect </w:t>
            </w:r>
            <w:r>
              <w:rPr>
                <w:lang w:val="en-CA" w:eastAsia="en-CA"/>
              </w:rPr>
              <w:t xml:space="preserve">and the </w:t>
            </w:r>
            <w:r w:rsidRPr="006B30B1">
              <w:rPr>
                <w:lang w:val="en-CA" w:eastAsia="en-CA"/>
              </w:rPr>
              <w:t>OAuth 2.0 protocol</w:t>
            </w:r>
            <w:r>
              <w:rPr>
                <w:lang w:val="en-CA" w:eastAsia="en-CA"/>
              </w:rPr>
              <w:t xml:space="preserve"> are used by the Gateway.</w:t>
            </w:r>
          </w:p>
        </w:tc>
      </w:tr>
      <w:tr w:rsidR="00C626B9" w14:paraId="404C7B87" w14:textId="3A7CC30C" w:rsidTr="228950F6">
        <w:tc>
          <w:tcPr>
            <w:tcW w:w="9360" w:type="dxa"/>
            <w:gridSpan w:val="2"/>
            <w:tcBorders>
              <w:left w:val="nil"/>
              <w:right w:val="nil"/>
            </w:tcBorders>
            <w:shd w:val="clear" w:color="auto" w:fill="F8F8F8"/>
            <w:tcMar>
              <w:top w:w="58" w:type="dxa"/>
              <w:left w:w="115" w:type="dxa"/>
              <w:bottom w:w="58" w:type="dxa"/>
              <w:right w:w="115" w:type="dxa"/>
            </w:tcMar>
          </w:tcPr>
          <w:p w14:paraId="3BBC68F5" w14:textId="77777777" w:rsidR="00C626B9" w:rsidRPr="00532D9D" w:rsidRDefault="00C626B9" w:rsidP="00E90452">
            <w:pPr>
              <w:pStyle w:val="TableText"/>
              <w:rPr>
                <w:b/>
                <w:sz w:val="20"/>
                <w:szCs w:val="20"/>
                <w:lang w:val="en-CA" w:eastAsia="en-CA"/>
              </w:rPr>
            </w:pPr>
            <w:r w:rsidRPr="00532D9D">
              <w:rPr>
                <w:b/>
                <w:sz w:val="20"/>
                <w:szCs w:val="20"/>
                <w:lang w:val="en-CA" w:eastAsia="en-CA"/>
              </w:rPr>
              <w:t>Rationale</w:t>
            </w:r>
          </w:p>
          <w:p w14:paraId="1EA83E41" w14:textId="30043A86" w:rsidR="00CE4AD8" w:rsidRDefault="00CE4AD8" w:rsidP="00E90452">
            <w:pPr>
              <w:pStyle w:val="TableText"/>
              <w:rPr>
                <w:lang w:val="en-CA" w:eastAsia="en-CA"/>
              </w:rPr>
            </w:pPr>
            <w:r w:rsidRPr="00CE4AD8">
              <w:rPr>
                <w:lang w:val="en-CA" w:eastAsia="en-CA"/>
              </w:rPr>
              <w:t xml:space="preserve">The Health Information Access Layer (HIAL) </w:t>
            </w:r>
            <w:r>
              <w:rPr>
                <w:lang w:val="en-CA" w:eastAsia="en-CA"/>
              </w:rPr>
              <w:t xml:space="preserve">and ONE Access Gateway provide access to </w:t>
            </w:r>
            <w:r w:rsidRPr="00CE4AD8">
              <w:rPr>
                <w:lang w:val="en-CA" w:eastAsia="en-CA"/>
              </w:rPr>
              <w:t xml:space="preserve">medical information, </w:t>
            </w:r>
            <w:r>
              <w:rPr>
                <w:lang w:val="en-CA" w:eastAsia="en-CA"/>
              </w:rPr>
              <w:t>giving</w:t>
            </w:r>
            <w:r w:rsidRPr="00CE4AD8">
              <w:rPr>
                <w:lang w:val="en-CA" w:eastAsia="en-CA"/>
              </w:rPr>
              <w:t xml:space="preserve"> integration to EHR services, applying security and privacy controls, message validation, transformation, enrichment, orchestration, terminology as needed and auditing for all transactions. Security controls include the authentication and authorization of all transactions via the user registry and, as needed, anti-virus services, as well as privacy controls such as audit and consent management. </w:t>
            </w:r>
          </w:p>
          <w:p w14:paraId="5F538524" w14:textId="32FD206E" w:rsidR="00C626B9" w:rsidRPr="00532D9D" w:rsidRDefault="00C626B9" w:rsidP="00A77CEA">
            <w:pPr>
              <w:pStyle w:val="TableText"/>
              <w:rPr>
                <w:b/>
                <w:sz w:val="20"/>
                <w:szCs w:val="20"/>
                <w:lang w:val="en-CA" w:eastAsia="en-CA"/>
              </w:rPr>
            </w:pPr>
            <w:r w:rsidRPr="005E7BFB">
              <w:rPr>
                <w:lang w:val="en-CA" w:eastAsia="en-CA"/>
              </w:rPr>
              <w:t xml:space="preserve">All provincial EHR assets are accessed through </w:t>
            </w:r>
            <w:r w:rsidR="00CE4AD8">
              <w:rPr>
                <w:lang w:val="en-CA" w:eastAsia="en-CA"/>
              </w:rPr>
              <w:t xml:space="preserve">either </w:t>
            </w:r>
            <w:r w:rsidRPr="005E7BFB">
              <w:rPr>
                <w:lang w:val="en-CA" w:eastAsia="en-CA"/>
              </w:rPr>
              <w:t>the provincial HIAL</w:t>
            </w:r>
            <w:r>
              <w:rPr>
                <w:lang w:val="en-CA" w:eastAsia="en-CA"/>
              </w:rPr>
              <w:t xml:space="preserve"> or ONE Access Gateway</w:t>
            </w:r>
            <w:r w:rsidRPr="005E7BFB">
              <w:rPr>
                <w:lang w:val="en-CA" w:eastAsia="en-CA"/>
              </w:rPr>
              <w:t>.</w:t>
            </w:r>
            <w:r w:rsidR="00FE1F4D">
              <w:rPr>
                <w:lang w:val="en-CA" w:eastAsia="en-CA"/>
              </w:rPr>
              <w:t xml:space="preserve"> In time</w:t>
            </w:r>
            <w:r w:rsidR="004B746A">
              <w:rPr>
                <w:lang w:val="en-CA" w:eastAsia="en-CA"/>
              </w:rPr>
              <w:t>,</w:t>
            </w:r>
            <w:r w:rsidR="00FE1F4D">
              <w:rPr>
                <w:lang w:val="en-CA" w:eastAsia="en-CA"/>
              </w:rPr>
              <w:t xml:space="preserve"> it is expected that all access will be via the ONE Access Gateway using </w:t>
            </w:r>
            <w:r w:rsidR="00FE1F4D" w:rsidRPr="004F7938">
              <w:t>HL7 FHIR®</w:t>
            </w:r>
            <w:r w:rsidR="00FE1F4D">
              <w:t xml:space="preserve"> </w:t>
            </w:r>
            <w:r w:rsidR="00FE1F4D">
              <w:rPr>
                <w:lang w:val="en-CA" w:eastAsia="en-CA"/>
              </w:rPr>
              <w:t>and OIDC, but legacy interfaces are currently exposed via the HIAL with HL7 V2, V3, etc. interfaces and SOAP/SAML.</w:t>
            </w:r>
          </w:p>
        </w:tc>
      </w:tr>
    </w:tbl>
    <w:p w14:paraId="0A0BFBCC" w14:textId="77777777" w:rsidR="008A47FA" w:rsidRDefault="008A47FA" w:rsidP="00D60CD3">
      <w:pPr>
        <w:pStyle w:val="Body"/>
      </w:pPr>
      <w:bookmarkStart w:id="53" w:name="_Ref40878697"/>
    </w:p>
    <w:p w14:paraId="69517352" w14:textId="77777777" w:rsidR="008A47FA" w:rsidRDefault="008A47FA" w:rsidP="008A47FA">
      <w:pPr>
        <w:pStyle w:val="Body"/>
        <w:rPr>
          <w:rFonts w:eastAsiaTheme="majorEastAsia" w:cstheme="majorBidi"/>
          <w:color w:val="000000" w:themeColor="text1"/>
          <w:sz w:val="32"/>
          <w:szCs w:val="26"/>
          <w:lang w:val="en-CA" w:eastAsia="en-CA"/>
        </w:rPr>
      </w:pPr>
      <w:r>
        <w:br w:type="page"/>
      </w:r>
    </w:p>
    <w:p w14:paraId="2569A3FC" w14:textId="54E576E3" w:rsidR="00690901" w:rsidRPr="007A02E2" w:rsidRDefault="00D94776" w:rsidP="00532D9D">
      <w:pPr>
        <w:pStyle w:val="Heading2"/>
        <w:spacing w:after="180"/>
      </w:pPr>
      <w:bookmarkStart w:id="54" w:name="_Ref41304545"/>
      <w:bookmarkStart w:id="55" w:name="_Toc54611000"/>
      <w:r>
        <w:t>EHR Security Policies and Standards</w:t>
      </w:r>
      <w:bookmarkEnd w:id="53"/>
      <w:bookmarkEnd w:id="54"/>
      <w:bookmarkEnd w:id="55"/>
    </w:p>
    <w:tbl>
      <w:tblPr>
        <w:tblStyle w:val="TableGrid"/>
        <w:tblW w:w="0" w:type="auto"/>
        <w:tblLook w:val="04A0" w:firstRow="1" w:lastRow="0" w:firstColumn="1" w:lastColumn="0" w:noHBand="0" w:noVBand="1"/>
      </w:tblPr>
      <w:tblGrid>
        <w:gridCol w:w="6300"/>
        <w:gridCol w:w="3060"/>
      </w:tblGrid>
      <w:tr w:rsidR="00C626B9" w14:paraId="71429D60" w14:textId="77777777" w:rsidTr="228950F6">
        <w:tc>
          <w:tcPr>
            <w:tcW w:w="6300" w:type="dxa"/>
            <w:vMerge w:val="restart"/>
            <w:tcBorders>
              <w:top w:val="single" w:sz="4" w:space="0" w:color="auto"/>
              <w:left w:val="nil"/>
              <w:bottom w:val="nil"/>
              <w:right w:val="nil"/>
            </w:tcBorders>
            <w:shd w:val="clear" w:color="auto" w:fill="F8F8F8"/>
            <w:tcMar>
              <w:top w:w="58" w:type="dxa"/>
              <w:left w:w="115" w:type="dxa"/>
              <w:bottom w:w="0" w:type="dxa"/>
              <w:right w:w="115" w:type="dxa"/>
            </w:tcMar>
          </w:tcPr>
          <w:p w14:paraId="22B14641" w14:textId="77777777" w:rsidR="00C626B9" w:rsidRPr="00532D9D" w:rsidRDefault="00C626B9" w:rsidP="00C626B9">
            <w:pPr>
              <w:pStyle w:val="TableText"/>
              <w:spacing w:before="80"/>
              <w:rPr>
                <w:b/>
                <w:sz w:val="20"/>
                <w:szCs w:val="20"/>
              </w:rPr>
            </w:pPr>
            <w:r>
              <w:rPr>
                <w:b/>
                <w:sz w:val="20"/>
                <w:szCs w:val="20"/>
              </w:rPr>
              <w:t>Description</w:t>
            </w:r>
          </w:p>
          <w:p w14:paraId="05E0E563" w14:textId="7F2E72F5" w:rsidR="00C626B9" w:rsidRPr="007A02E2" w:rsidRDefault="00C626B9" w:rsidP="008A47FA">
            <w:pPr>
              <w:pStyle w:val="TableText"/>
              <w:spacing w:after="20"/>
            </w:pPr>
            <w:r w:rsidRPr="007A02E2">
              <w:t>The POS solution will align with the EHR Security Policies and Standards as developed under the governance framework of the Provincial Connecting Security Committee. These policies focus on the following roles:</w:t>
            </w:r>
          </w:p>
          <w:p w14:paraId="1FCCBC2B" w14:textId="77777777" w:rsidR="00C626B9" w:rsidRPr="007A02E2" w:rsidRDefault="00C626B9" w:rsidP="008A47FA">
            <w:pPr>
              <w:pStyle w:val="TableText"/>
              <w:numPr>
                <w:ilvl w:val="0"/>
                <w:numId w:val="30"/>
              </w:numPr>
              <w:spacing w:before="20" w:after="20"/>
              <w:ind w:left="547" w:hanging="187"/>
            </w:pPr>
            <w:r w:rsidRPr="007A02E2">
              <w:t>Data contributor</w:t>
            </w:r>
            <w:r>
              <w:t>;</w:t>
            </w:r>
          </w:p>
          <w:p w14:paraId="0C5B6FC0" w14:textId="77777777" w:rsidR="00C626B9" w:rsidRPr="007A02E2" w:rsidRDefault="00C626B9" w:rsidP="008A47FA">
            <w:pPr>
              <w:pStyle w:val="TableText"/>
              <w:numPr>
                <w:ilvl w:val="0"/>
                <w:numId w:val="30"/>
              </w:numPr>
              <w:spacing w:before="20" w:after="20"/>
              <w:ind w:left="547" w:hanging="187"/>
            </w:pPr>
            <w:r w:rsidRPr="00594323">
              <w:rPr>
                <w:lang w:val="en-CA" w:eastAsia="en-CA"/>
              </w:rPr>
              <w:t>Identity</w:t>
            </w:r>
            <w:r w:rsidRPr="007A02E2">
              <w:t xml:space="preserve"> providers (SSO)</w:t>
            </w:r>
            <w:r>
              <w:t>;</w:t>
            </w:r>
          </w:p>
          <w:p w14:paraId="2ADAE015" w14:textId="77777777" w:rsidR="00C626B9" w:rsidRPr="007A02E2" w:rsidRDefault="00C626B9" w:rsidP="008A47FA">
            <w:pPr>
              <w:pStyle w:val="TableText"/>
              <w:numPr>
                <w:ilvl w:val="0"/>
                <w:numId w:val="30"/>
              </w:numPr>
              <w:spacing w:before="20" w:after="20"/>
              <w:ind w:left="547" w:hanging="187"/>
            </w:pPr>
            <w:r w:rsidRPr="00594323">
              <w:rPr>
                <w:lang w:val="en-CA" w:eastAsia="en-CA"/>
              </w:rPr>
              <w:t>Viewing</w:t>
            </w:r>
            <w:r>
              <w:rPr>
                <w:lang w:val="en-CA" w:eastAsia="en-CA"/>
              </w:rPr>
              <w:t>;</w:t>
            </w:r>
          </w:p>
          <w:p w14:paraId="1AAB80E1" w14:textId="25C31CFB" w:rsidR="00C626B9" w:rsidRPr="00532D9D" w:rsidRDefault="00C626B9" w:rsidP="008A47FA">
            <w:pPr>
              <w:pStyle w:val="TableText"/>
              <w:numPr>
                <w:ilvl w:val="0"/>
                <w:numId w:val="30"/>
              </w:numPr>
              <w:spacing w:before="20" w:after="20"/>
              <w:ind w:left="547" w:hanging="187"/>
              <w:rPr>
                <w:b/>
                <w:sz w:val="20"/>
                <w:szCs w:val="20"/>
              </w:rPr>
            </w:pPr>
            <w:r w:rsidRPr="00594323">
              <w:rPr>
                <w:lang w:val="en-CA" w:eastAsia="en-CA"/>
              </w:rPr>
              <w:t>Program</w:t>
            </w:r>
            <w:r w:rsidRPr="007A02E2">
              <w:t xml:space="preserve"> office / </w:t>
            </w:r>
            <w:r w:rsidR="00DE2AA8">
              <w:t>s</w:t>
            </w:r>
            <w:r w:rsidRPr="007A02E2">
              <w:t xml:space="preserve">olution </w:t>
            </w:r>
            <w:r w:rsidR="00DE2AA8">
              <w:t>o</w:t>
            </w:r>
            <w:r w:rsidRPr="007A02E2">
              <w:t>perator</w:t>
            </w:r>
            <w:r>
              <w:t>.</w:t>
            </w:r>
          </w:p>
        </w:tc>
        <w:tc>
          <w:tcPr>
            <w:tcW w:w="3060" w:type="dxa"/>
            <w:tcBorders>
              <w:left w:val="nil"/>
              <w:bottom w:val="nil"/>
              <w:right w:val="nil"/>
            </w:tcBorders>
            <w:shd w:val="clear" w:color="auto" w:fill="F8F8F8"/>
          </w:tcPr>
          <w:p w14:paraId="407C07C3" w14:textId="77777777" w:rsidR="00C626B9" w:rsidRDefault="00C626B9" w:rsidP="00594323">
            <w:pPr>
              <w:pStyle w:val="TableText"/>
              <w:rPr>
                <w:b/>
                <w:sz w:val="20"/>
                <w:szCs w:val="20"/>
              </w:rPr>
            </w:pPr>
          </w:p>
        </w:tc>
      </w:tr>
      <w:tr w:rsidR="00C626B9" w14:paraId="43646BED" w14:textId="77777777" w:rsidTr="228950F6">
        <w:tc>
          <w:tcPr>
            <w:tcW w:w="6300" w:type="dxa"/>
            <w:vMerge/>
            <w:tcMar>
              <w:top w:w="58" w:type="dxa"/>
              <w:left w:w="115" w:type="dxa"/>
              <w:bottom w:w="58" w:type="dxa"/>
              <w:right w:w="115" w:type="dxa"/>
            </w:tcMar>
          </w:tcPr>
          <w:p w14:paraId="1BF1EDF8" w14:textId="091E6E99" w:rsidR="00C626B9" w:rsidRPr="00C626B9" w:rsidRDefault="00C626B9" w:rsidP="00C626B9">
            <w:pPr>
              <w:pStyle w:val="TableText"/>
              <w:numPr>
                <w:ilvl w:val="0"/>
                <w:numId w:val="30"/>
              </w:numPr>
              <w:ind w:left="545" w:hanging="185"/>
            </w:pPr>
          </w:p>
        </w:tc>
        <w:tc>
          <w:tcPr>
            <w:tcW w:w="3060" w:type="dxa"/>
            <w:tcBorders>
              <w:top w:val="nil"/>
              <w:left w:val="nil"/>
              <w:bottom w:val="nil"/>
              <w:right w:val="nil"/>
            </w:tcBorders>
            <w:shd w:val="clear" w:color="auto" w:fill="F8F8F8"/>
          </w:tcPr>
          <w:p w14:paraId="2B42F958" w14:textId="56F6CA4C" w:rsidR="00C626B9" w:rsidRDefault="008A47FA" w:rsidP="008A47FA">
            <w:pPr>
              <w:pStyle w:val="TableText"/>
              <w:spacing w:before="0"/>
              <w:rPr>
                <w:b/>
                <w:sz w:val="20"/>
                <w:szCs w:val="20"/>
              </w:rPr>
            </w:pPr>
            <w:r>
              <w:rPr>
                <w:rFonts w:ascii="Medium-65" w:hAnsi="Medium-65" w:cs="Arial"/>
                <w:noProof/>
                <w:color w:val="6D6D6D"/>
                <w:sz w:val="21"/>
                <w:szCs w:val="21"/>
              </w:rPr>
              <w:drawing>
                <wp:inline distT="0" distB="0" distL="0" distR="0" wp14:anchorId="1458B54D" wp14:editId="2B5CE6D7">
                  <wp:extent cx="490220" cy="396240"/>
                  <wp:effectExtent l="0" t="0" r="0" b="3810"/>
                  <wp:docPr id="28" name="Picture 28" descr="Security Icon 2378378">
                    <a:hlinkClick xmlns:a="http://schemas.openxmlformats.org/drawingml/2006/main" r:id="rId55" tooltip="&quot;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curity Icon 2378378">
                            <a:hlinkClick r:id="rId55" tooltip="&quot;Security&quot;"/>
                          </pic:cNvPr>
                          <pic:cNvPicPr>
                            <a:picLocks noChangeAspect="1" noChangeArrowheads="1"/>
                          </pic:cNvPicPr>
                        </pic:nvPicPr>
                        <pic:blipFill rotWithShape="1">
                          <a:blip r:embed="rId56" cstate="screen">
                            <a:duotone>
                              <a:schemeClr val="accent4">
                                <a:shade val="45000"/>
                                <a:satMod val="135000"/>
                              </a:schemeClr>
                              <a:prstClr val="white"/>
                            </a:duotone>
                            <a:extLst>
                              <a:ext uri="{28A0092B-C50C-407E-A947-70E740481C1C}">
                                <a14:useLocalDpi xmlns:a14="http://schemas.microsoft.com/office/drawing/2010/main" val="0"/>
                              </a:ext>
                            </a:extLst>
                          </a:blip>
                          <a:srcRect t="8778" b="10393"/>
                          <a:stretch/>
                        </pic:blipFill>
                        <pic:spPr bwMode="auto">
                          <a:xfrm>
                            <a:off x="0" y="0"/>
                            <a:ext cx="491490" cy="3972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26B9" w14:paraId="25F82F5B" w14:textId="6CDA59FF" w:rsidTr="228950F6">
        <w:tc>
          <w:tcPr>
            <w:tcW w:w="9360" w:type="dxa"/>
            <w:gridSpan w:val="2"/>
            <w:tcBorders>
              <w:top w:val="nil"/>
              <w:left w:val="nil"/>
              <w:bottom w:val="nil"/>
              <w:right w:val="nil"/>
            </w:tcBorders>
            <w:shd w:val="clear" w:color="auto" w:fill="F8F8F8"/>
            <w:tcMar>
              <w:top w:w="0" w:type="dxa"/>
              <w:left w:w="115" w:type="dxa"/>
              <w:bottom w:w="58" w:type="dxa"/>
              <w:right w:w="115" w:type="dxa"/>
            </w:tcMar>
          </w:tcPr>
          <w:p w14:paraId="0FBB6C86" w14:textId="6BBDBAEF" w:rsidR="00C626B9" w:rsidRPr="00532D9D" w:rsidRDefault="00C626B9" w:rsidP="00D60CD3">
            <w:pPr>
              <w:pStyle w:val="TableText"/>
              <w:spacing w:after="0"/>
              <w:rPr>
                <w:b/>
                <w:sz w:val="20"/>
                <w:szCs w:val="20"/>
              </w:rPr>
            </w:pPr>
            <w:r w:rsidRPr="007A02E2">
              <w:t xml:space="preserve">These </w:t>
            </w:r>
            <w:r w:rsidR="00D132F1">
              <w:t>policies</w:t>
            </w:r>
            <w:r w:rsidR="00D132F1" w:rsidRPr="007A02E2">
              <w:t xml:space="preserve"> </w:t>
            </w:r>
            <w:r w:rsidRPr="007A02E2">
              <w:t xml:space="preserve">are required to be followed by health information custodians (HICs) who are participating in the EHR. HICs are responsible </w:t>
            </w:r>
            <w:r>
              <w:t>for</w:t>
            </w:r>
            <w:r w:rsidRPr="007A02E2">
              <w:t xml:space="preserve"> requir</w:t>
            </w:r>
            <w:r>
              <w:t>ing</w:t>
            </w:r>
            <w:r w:rsidRPr="007A02E2">
              <w:t xml:space="preserve"> their vendors to implement the policies and standards where they play a supporting role in their participation. These policies and standards are based on the ISO 27001 and ISO</w:t>
            </w:r>
            <w:r w:rsidR="00F142EC">
              <w:t xml:space="preserve"> </w:t>
            </w:r>
            <w:r w:rsidRPr="007A02E2">
              <w:t>27002 framework for Information Security and may be updated over time.</w:t>
            </w:r>
          </w:p>
        </w:tc>
      </w:tr>
      <w:tr w:rsidR="008A47FA" w14:paraId="77697514" w14:textId="77777777" w:rsidTr="228950F6">
        <w:tc>
          <w:tcPr>
            <w:tcW w:w="9360" w:type="dxa"/>
            <w:gridSpan w:val="2"/>
            <w:tcBorders>
              <w:top w:val="nil"/>
              <w:left w:val="nil"/>
              <w:right w:val="nil"/>
            </w:tcBorders>
            <w:shd w:val="clear" w:color="auto" w:fill="F8F8F8"/>
            <w:tcMar>
              <w:top w:w="0" w:type="dxa"/>
              <w:left w:w="115" w:type="dxa"/>
              <w:bottom w:w="58" w:type="dxa"/>
              <w:right w:w="115" w:type="dxa"/>
            </w:tcMar>
          </w:tcPr>
          <w:p w14:paraId="2E11AEBE" w14:textId="6E2C7964" w:rsidR="008A47FA" w:rsidRPr="008A47FA" w:rsidRDefault="008A47FA" w:rsidP="000D594A">
            <w:pPr>
              <w:pStyle w:val="TableText"/>
              <w:rPr>
                <w:lang w:val="en-CA" w:eastAsia="en-CA"/>
              </w:rPr>
            </w:pPr>
            <w:r w:rsidRPr="007A02E2">
              <w:t xml:space="preserve">The EHR Security Policies and Standards documents can be found on the Getting Connected page on the </w:t>
            </w:r>
            <w:hyperlink r:id="rId57" w:history="1">
              <w:r w:rsidRPr="007A02E2">
                <w:rPr>
                  <w:rStyle w:val="Hyperlink"/>
                </w:rPr>
                <w:t>eHealth Ontario website</w:t>
              </w:r>
            </w:hyperlink>
            <w:r w:rsidRPr="007A02E2">
              <w:t>. (Navigate to the ‘As a federated or data contributing organization’ section</w:t>
            </w:r>
            <w:r>
              <w:t xml:space="preserve">; </w:t>
            </w:r>
            <w:r w:rsidRPr="007A02E2">
              <w:t>the policies and standards are found under Step 3.)</w:t>
            </w:r>
            <w:r w:rsidR="0093358F">
              <w:t>.</w:t>
            </w:r>
            <w:r w:rsidR="00D132F1">
              <w:t xml:space="preserve"> As well, a</w:t>
            </w:r>
            <w:r w:rsidRPr="007A02E2">
              <w:t xml:space="preserve">n </w:t>
            </w:r>
            <w:hyperlink r:id="rId58" w:history="1">
              <w:r w:rsidRPr="007A02E2">
                <w:rPr>
                  <w:rStyle w:val="Hyperlink"/>
                </w:rPr>
                <w:t>EHR Security Policies and Standards self-assessment tool</w:t>
              </w:r>
            </w:hyperlink>
            <w:r w:rsidRPr="007A02E2">
              <w:t xml:space="preserve"> is available to stakeholders to measure </w:t>
            </w:r>
            <w:r>
              <w:t xml:space="preserve">the compliance of </w:t>
            </w:r>
            <w:r w:rsidRPr="007A02E2">
              <w:t xml:space="preserve">their products and services with the EHR Policies and Standards. </w:t>
            </w:r>
          </w:p>
        </w:tc>
      </w:tr>
      <w:tr w:rsidR="008A47FA" w14:paraId="31278BFE" w14:textId="0BF763F0" w:rsidTr="228950F6">
        <w:tc>
          <w:tcPr>
            <w:tcW w:w="9360" w:type="dxa"/>
            <w:gridSpan w:val="2"/>
            <w:tcBorders>
              <w:left w:val="nil"/>
              <w:right w:val="nil"/>
            </w:tcBorders>
            <w:tcMar>
              <w:top w:w="58" w:type="dxa"/>
              <w:left w:w="115" w:type="dxa"/>
              <w:bottom w:w="58" w:type="dxa"/>
              <w:right w:w="115" w:type="dxa"/>
            </w:tcMar>
          </w:tcPr>
          <w:p w14:paraId="55129BB9" w14:textId="06DB06A0" w:rsidR="008A47FA" w:rsidRPr="00532D9D" w:rsidRDefault="008A47FA" w:rsidP="00C626B9">
            <w:pPr>
              <w:pStyle w:val="TableText"/>
              <w:rPr>
                <w:b/>
                <w:sz w:val="20"/>
                <w:szCs w:val="20"/>
                <w:lang w:val="en-CA" w:eastAsia="en-CA"/>
              </w:rPr>
            </w:pPr>
            <w:r w:rsidRPr="00532D9D">
              <w:rPr>
                <w:b/>
                <w:sz w:val="20"/>
                <w:szCs w:val="20"/>
                <w:lang w:val="en-CA" w:eastAsia="en-CA"/>
              </w:rPr>
              <w:t xml:space="preserve">Expected Response </w:t>
            </w:r>
            <w:r w:rsidR="00A0478B">
              <w:rPr>
                <w:b/>
                <w:sz w:val="20"/>
                <w:szCs w:val="20"/>
                <w:lang w:val="en-CA" w:eastAsia="en-CA"/>
              </w:rPr>
              <w:t>f</w:t>
            </w:r>
            <w:r w:rsidRPr="00532D9D">
              <w:rPr>
                <w:b/>
                <w:sz w:val="20"/>
                <w:szCs w:val="20"/>
                <w:lang w:val="en-CA" w:eastAsia="en-CA"/>
              </w:rPr>
              <w:t>rom Vendor</w:t>
            </w:r>
          </w:p>
          <w:p w14:paraId="2CC1A230" w14:textId="37FDCDD7" w:rsidR="008A47FA" w:rsidRPr="00532D9D" w:rsidRDefault="008A47FA" w:rsidP="00410D4F">
            <w:pPr>
              <w:pStyle w:val="TableText"/>
              <w:rPr>
                <w:b/>
                <w:sz w:val="20"/>
                <w:szCs w:val="20"/>
                <w:lang w:val="en-CA" w:eastAsia="en-CA"/>
              </w:rPr>
            </w:pPr>
            <w:r w:rsidRPr="00594323">
              <w:rPr>
                <w:lang w:val="en-CA" w:eastAsia="en-CA"/>
              </w:rPr>
              <w:t>Preference will be given to responses that demonstrate previous experience implementing and supporting the EHR security policies and standards.</w:t>
            </w:r>
          </w:p>
        </w:tc>
      </w:tr>
      <w:tr w:rsidR="008A47FA" w14:paraId="7209D622" w14:textId="4A766557" w:rsidTr="228950F6">
        <w:tc>
          <w:tcPr>
            <w:tcW w:w="9360" w:type="dxa"/>
            <w:gridSpan w:val="2"/>
            <w:tcBorders>
              <w:left w:val="nil"/>
              <w:right w:val="nil"/>
            </w:tcBorders>
            <w:shd w:val="clear" w:color="auto" w:fill="F8F8F8"/>
            <w:tcMar>
              <w:top w:w="58" w:type="dxa"/>
              <w:left w:w="115" w:type="dxa"/>
              <w:bottom w:w="58" w:type="dxa"/>
              <w:right w:w="115" w:type="dxa"/>
            </w:tcMar>
          </w:tcPr>
          <w:p w14:paraId="0550976D" w14:textId="77777777" w:rsidR="008A47FA" w:rsidRPr="00532D9D" w:rsidRDefault="008A47FA" w:rsidP="00C626B9">
            <w:pPr>
              <w:pStyle w:val="TableText"/>
              <w:rPr>
                <w:b/>
                <w:sz w:val="20"/>
                <w:szCs w:val="20"/>
                <w:lang w:val="en-CA" w:eastAsia="en-CA"/>
              </w:rPr>
            </w:pPr>
            <w:r w:rsidRPr="00532D9D">
              <w:rPr>
                <w:b/>
                <w:sz w:val="20"/>
                <w:szCs w:val="20"/>
                <w:lang w:val="en-CA" w:eastAsia="en-CA"/>
              </w:rPr>
              <w:t>Rationale</w:t>
            </w:r>
          </w:p>
          <w:p w14:paraId="3B1A9412" w14:textId="3A3F7209" w:rsidR="008A47FA" w:rsidRPr="00532D9D" w:rsidRDefault="008A47FA" w:rsidP="000D594A">
            <w:pPr>
              <w:pStyle w:val="TableText"/>
              <w:rPr>
                <w:b/>
                <w:sz w:val="20"/>
                <w:szCs w:val="20"/>
                <w:lang w:val="en-CA" w:eastAsia="en-CA"/>
              </w:rPr>
            </w:pPr>
            <w:r w:rsidRPr="00594323">
              <w:rPr>
                <w:lang w:val="en-CA" w:eastAsia="en-CA"/>
              </w:rPr>
              <w:t xml:space="preserve">Making use of common EHR Security Policies and Standards builds a network of trust and confidence among stakeholders who are participating in the </w:t>
            </w:r>
            <w:r>
              <w:rPr>
                <w:lang w:val="en-CA" w:eastAsia="en-CA"/>
              </w:rPr>
              <w:t>EHR,</w:t>
            </w:r>
            <w:r w:rsidRPr="00594323">
              <w:rPr>
                <w:lang w:val="en-CA" w:eastAsia="en-CA"/>
              </w:rPr>
              <w:t xml:space="preserve"> which allows data sharing to happen more easily. Additionally, a harmonized baseline of security provides confidence to </w:t>
            </w:r>
            <w:r w:rsidR="007472BA">
              <w:rPr>
                <w:lang w:val="en-CA" w:eastAsia="en-CA"/>
              </w:rPr>
              <w:t>p</w:t>
            </w:r>
            <w:r w:rsidRPr="00594323">
              <w:rPr>
                <w:lang w:val="en-CA" w:eastAsia="en-CA"/>
              </w:rPr>
              <w:t>atients who rely on the security of the EHR to protect their data.</w:t>
            </w:r>
          </w:p>
        </w:tc>
      </w:tr>
    </w:tbl>
    <w:p w14:paraId="588A64DD" w14:textId="77777777" w:rsidR="006A4652" w:rsidRPr="007A02E2" w:rsidRDefault="006A4652" w:rsidP="006A4652">
      <w:pPr>
        <w:pStyle w:val="Heading2"/>
        <w:spacing w:after="240"/>
      </w:pPr>
      <w:bookmarkStart w:id="56" w:name="_Toc54611001"/>
      <w:bookmarkStart w:id="57" w:name="_Ref40878703"/>
      <w:r>
        <w:t>Health Report Manager (HRM)</w:t>
      </w:r>
      <w:bookmarkEnd w:id="56"/>
    </w:p>
    <w:tbl>
      <w:tblPr>
        <w:tblStyle w:val="TableGrid"/>
        <w:tblW w:w="0" w:type="auto"/>
        <w:tblLook w:val="04A0" w:firstRow="1" w:lastRow="0" w:firstColumn="1" w:lastColumn="0" w:noHBand="0" w:noVBand="1"/>
      </w:tblPr>
      <w:tblGrid>
        <w:gridCol w:w="4983"/>
        <w:gridCol w:w="4377"/>
      </w:tblGrid>
      <w:tr w:rsidR="006A4652" w14:paraId="237E7513" w14:textId="77777777" w:rsidTr="228950F6">
        <w:trPr>
          <w:trHeight w:val="751"/>
        </w:trPr>
        <w:tc>
          <w:tcPr>
            <w:tcW w:w="4983" w:type="dxa"/>
            <w:tcBorders>
              <w:left w:val="nil"/>
              <w:bottom w:val="nil"/>
              <w:right w:val="nil"/>
            </w:tcBorders>
            <w:shd w:val="clear" w:color="auto" w:fill="F8F8F8"/>
            <w:tcMar>
              <w:top w:w="58" w:type="dxa"/>
              <w:left w:w="115" w:type="dxa"/>
              <w:bottom w:w="0" w:type="dxa"/>
              <w:right w:w="115" w:type="dxa"/>
            </w:tcMar>
          </w:tcPr>
          <w:p w14:paraId="504C6885" w14:textId="77777777" w:rsidR="006A4652" w:rsidRDefault="006A4652" w:rsidP="00357FB1">
            <w:pPr>
              <w:pStyle w:val="TableText"/>
              <w:rPr>
                <w:b/>
                <w:sz w:val="20"/>
                <w:szCs w:val="20"/>
              </w:rPr>
            </w:pPr>
            <w:r>
              <w:rPr>
                <w:b/>
                <w:sz w:val="20"/>
                <w:szCs w:val="20"/>
              </w:rPr>
              <w:t>Description</w:t>
            </w:r>
          </w:p>
          <w:p w14:paraId="1E52A849" w14:textId="77777777" w:rsidR="006A4652" w:rsidRDefault="006A4652" w:rsidP="00357FB1">
            <w:pPr>
              <w:pStyle w:val="TableText"/>
              <w:spacing w:after="0"/>
              <w:rPr>
                <w:b/>
                <w:sz w:val="20"/>
                <w:szCs w:val="20"/>
              </w:rPr>
            </w:pPr>
            <w:r w:rsidRPr="007A02E2">
              <w:t>The POS solution will support HRM interfaces to enable sharing</w:t>
            </w:r>
            <w:r>
              <w:t xml:space="preserve"> of</w:t>
            </w:r>
            <w:r w:rsidRPr="007A02E2">
              <w:t xml:space="preserve"> </w:t>
            </w:r>
            <w:r>
              <w:t>clinical documents with clinician EMRs.</w:t>
            </w:r>
          </w:p>
        </w:tc>
        <w:tc>
          <w:tcPr>
            <w:tcW w:w="4377" w:type="dxa"/>
            <w:tcBorders>
              <w:left w:val="nil"/>
              <w:bottom w:val="nil"/>
              <w:right w:val="nil"/>
            </w:tcBorders>
            <w:shd w:val="clear" w:color="auto" w:fill="F8F8F8"/>
            <w:tcMar>
              <w:left w:w="115" w:type="dxa"/>
              <w:right w:w="115" w:type="dxa"/>
            </w:tcMar>
          </w:tcPr>
          <w:p w14:paraId="640EB68F" w14:textId="0E0A9AEF" w:rsidR="006A4652" w:rsidRDefault="006A4652" w:rsidP="00357FB1">
            <w:pPr>
              <w:pStyle w:val="TableText"/>
              <w:spacing w:before="120" w:after="0"/>
              <w:rPr>
                <w:b/>
                <w:sz w:val="20"/>
                <w:szCs w:val="20"/>
              </w:rPr>
            </w:pPr>
            <w:r>
              <w:rPr>
                <w:noProof/>
              </w:rPr>
              <w:drawing>
                <wp:inline distT="0" distB="0" distL="0" distR="0" wp14:anchorId="1F063705" wp14:editId="451FDFE6">
                  <wp:extent cx="422694" cy="422694"/>
                  <wp:effectExtent l="0" t="0" r="0" b="0"/>
                  <wp:docPr id="1" name="Picture 1" descr="manager Icon 276355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0" cstate="screen">
                            <a:extLst>
                              <a:ext uri="{28A0092B-C50C-407E-A947-70E740481C1C}">
                                <a14:useLocalDpi xmlns:a14="http://schemas.microsoft.com/office/drawing/2010/main" val="0"/>
                              </a:ext>
                            </a:extLst>
                          </a:blip>
                          <a:stretch>
                            <a:fillRect/>
                          </a:stretch>
                        </pic:blipFill>
                        <pic:spPr>
                          <a:xfrm>
                            <a:off x="0" y="0"/>
                            <a:ext cx="422694" cy="422694"/>
                          </a:xfrm>
                          <a:prstGeom prst="rect">
                            <a:avLst/>
                          </a:prstGeom>
                        </pic:spPr>
                      </pic:pic>
                    </a:graphicData>
                  </a:graphic>
                </wp:inline>
              </w:drawing>
            </w:r>
          </w:p>
        </w:tc>
      </w:tr>
      <w:tr w:rsidR="006A4652" w14:paraId="36E9D9ED" w14:textId="77777777" w:rsidTr="228950F6">
        <w:tc>
          <w:tcPr>
            <w:tcW w:w="9360" w:type="dxa"/>
            <w:gridSpan w:val="2"/>
            <w:tcBorders>
              <w:top w:val="nil"/>
              <w:left w:val="nil"/>
              <w:right w:val="nil"/>
            </w:tcBorders>
            <w:shd w:val="clear" w:color="auto" w:fill="F8F8F8"/>
            <w:tcMar>
              <w:top w:w="0" w:type="dxa"/>
              <w:left w:w="115" w:type="dxa"/>
              <w:bottom w:w="58" w:type="dxa"/>
              <w:right w:w="115" w:type="dxa"/>
            </w:tcMar>
          </w:tcPr>
          <w:p w14:paraId="455E2DAC" w14:textId="08453A76" w:rsidR="006A4652" w:rsidRPr="007A02E2" w:rsidRDefault="006A4652" w:rsidP="00357FB1">
            <w:pPr>
              <w:pStyle w:val="TableText"/>
              <w:spacing w:before="80"/>
            </w:pPr>
            <w:r w:rsidRPr="007A02E2">
              <w:t>HRM is a</w:t>
            </w:r>
            <w:r w:rsidR="00411191">
              <w:t xml:space="preserve"> </w:t>
            </w:r>
            <w:r w:rsidRPr="007A02E2">
              <w:t>solution that enables clinicians using an OntarioMD-certified EMR offering to securely receive patient reports electronically from participating sending facilities</w:t>
            </w:r>
            <w:r>
              <w:t xml:space="preserve"> such as hospitals and independent health facilities</w:t>
            </w:r>
            <w:r w:rsidRPr="007A02E2">
              <w:t>. HRM electronically delivers medical record reports (e.g. discharge summar</w:t>
            </w:r>
            <w:r>
              <w:t>ies</w:t>
            </w:r>
            <w:r w:rsidRPr="007A02E2">
              <w:t>) and diagnostic imaging reports from sending facilities directly into a patient</w:t>
            </w:r>
            <w:r w:rsidR="00551A16">
              <w:t>’</w:t>
            </w:r>
            <w:r w:rsidRPr="007A02E2">
              <w:t>s chart within the clinician's EMR.</w:t>
            </w:r>
          </w:p>
          <w:p w14:paraId="490AFC2C" w14:textId="77777777" w:rsidR="006A4652" w:rsidRDefault="006A4652" w:rsidP="00357FB1">
            <w:pPr>
              <w:pStyle w:val="TableText"/>
              <w:rPr>
                <w:lang w:val="en-CA" w:eastAsia="en-CA"/>
              </w:rPr>
            </w:pPr>
            <w:r w:rsidRPr="003F5431">
              <w:rPr>
                <w:lang w:val="en-CA" w:eastAsia="en-CA"/>
              </w:rPr>
              <w:t xml:space="preserve"> This integration can occur through conformance to the following specification:</w:t>
            </w:r>
            <w:r>
              <w:rPr>
                <w:lang w:val="en-CA" w:eastAsia="en-CA"/>
              </w:rPr>
              <w:t xml:space="preserve"> </w:t>
            </w:r>
          </w:p>
          <w:p w14:paraId="4578F1E9" w14:textId="6CE4B7A8" w:rsidR="006A4652" w:rsidRPr="0090778B" w:rsidRDefault="008751A9" w:rsidP="00357FB1">
            <w:pPr>
              <w:pStyle w:val="TableText"/>
              <w:numPr>
                <w:ilvl w:val="0"/>
                <w:numId w:val="44"/>
              </w:numPr>
              <w:rPr>
                <w:rStyle w:val="Hyperlink"/>
                <w:b/>
                <w:color w:val="auto"/>
                <w:sz w:val="20"/>
                <w:szCs w:val="20"/>
                <w:u w:val="none"/>
              </w:rPr>
            </w:pPr>
            <w:hyperlink r:id="rId61" w:history="1">
              <w:r w:rsidR="006A4652" w:rsidRPr="00CA1E68">
                <w:rPr>
                  <w:rStyle w:val="Hyperlink"/>
                </w:rPr>
                <w:t xml:space="preserve">Acute and Community </w:t>
              </w:r>
              <w:r w:rsidR="006A4652">
                <w:rPr>
                  <w:rStyle w:val="Hyperlink"/>
                </w:rPr>
                <w:t xml:space="preserve">Care </w:t>
              </w:r>
              <w:r w:rsidR="006A4652" w:rsidRPr="00CA1E68">
                <w:rPr>
                  <w:rStyle w:val="Hyperlink"/>
                </w:rPr>
                <w:t>CDR Input Standard</w:t>
              </w:r>
            </w:hyperlink>
            <w:r w:rsidR="006A4652">
              <w:rPr>
                <w:rStyle w:val="Hyperlink"/>
              </w:rPr>
              <w:t>;</w:t>
            </w:r>
          </w:p>
          <w:p w14:paraId="4BE54DE3" w14:textId="77777777" w:rsidR="006A4652" w:rsidRPr="0090778B" w:rsidRDefault="00D92A6E" w:rsidP="00357FB1">
            <w:pPr>
              <w:pStyle w:val="TableText"/>
              <w:numPr>
                <w:ilvl w:val="0"/>
                <w:numId w:val="44"/>
              </w:numPr>
              <w:rPr>
                <w:sz w:val="20"/>
                <w:szCs w:val="20"/>
              </w:rPr>
            </w:pPr>
            <w:hyperlink r:id="rId62" w:history="1">
              <w:r w:rsidR="006A4652" w:rsidRPr="0090778B">
                <w:rPr>
                  <w:rStyle w:val="Hyperlink"/>
                </w:rPr>
                <w:t>Health Report Manager (HRM) Input Specification</w:t>
              </w:r>
            </w:hyperlink>
          </w:p>
        </w:tc>
      </w:tr>
      <w:tr w:rsidR="006A4652" w14:paraId="29AC5739" w14:textId="77777777" w:rsidTr="228950F6">
        <w:tc>
          <w:tcPr>
            <w:tcW w:w="9360" w:type="dxa"/>
            <w:gridSpan w:val="2"/>
            <w:tcBorders>
              <w:left w:val="nil"/>
              <w:right w:val="nil"/>
            </w:tcBorders>
            <w:tcMar>
              <w:top w:w="58" w:type="dxa"/>
              <w:left w:w="115" w:type="dxa"/>
              <w:bottom w:w="58" w:type="dxa"/>
              <w:right w:w="115" w:type="dxa"/>
            </w:tcMar>
          </w:tcPr>
          <w:p w14:paraId="445A387B" w14:textId="50A9C6A3" w:rsidR="006A4652" w:rsidRPr="00854DDB" w:rsidRDefault="006A4652" w:rsidP="00357FB1">
            <w:pPr>
              <w:pStyle w:val="TableText"/>
              <w:rPr>
                <w:b/>
                <w:sz w:val="20"/>
                <w:szCs w:val="20"/>
                <w:lang w:val="en-CA" w:eastAsia="en-CA"/>
              </w:rPr>
            </w:pPr>
            <w:r>
              <w:rPr>
                <w:b/>
                <w:sz w:val="20"/>
                <w:szCs w:val="20"/>
                <w:lang w:val="en-CA" w:eastAsia="en-CA"/>
              </w:rPr>
              <w:t xml:space="preserve">Expected Response </w:t>
            </w:r>
            <w:r w:rsidR="00551A16">
              <w:rPr>
                <w:b/>
                <w:sz w:val="20"/>
                <w:szCs w:val="20"/>
                <w:lang w:val="en-CA" w:eastAsia="en-CA"/>
              </w:rPr>
              <w:t>f</w:t>
            </w:r>
            <w:r w:rsidRPr="00854DDB">
              <w:rPr>
                <w:b/>
                <w:sz w:val="20"/>
                <w:szCs w:val="20"/>
                <w:lang w:val="en-CA" w:eastAsia="en-CA"/>
              </w:rPr>
              <w:t>rom Vendor</w:t>
            </w:r>
          </w:p>
          <w:p w14:paraId="5435A94A" w14:textId="77777777" w:rsidR="006A4652" w:rsidRDefault="006A4652" w:rsidP="00357FB1">
            <w:pPr>
              <w:pStyle w:val="TableText"/>
              <w:rPr>
                <w:b/>
                <w:sz w:val="20"/>
                <w:szCs w:val="20"/>
                <w:lang w:val="en-CA" w:eastAsia="en-CA"/>
              </w:rPr>
            </w:pPr>
            <w:r w:rsidRPr="00C623FF">
              <w:rPr>
                <w:lang w:val="en-CA" w:eastAsia="en-CA"/>
              </w:rPr>
              <w:t>Preference will be given to responses that demonstrate previous experience integrating POS systems with HRM interfaces, while aligning with the listed standards.</w:t>
            </w:r>
          </w:p>
        </w:tc>
      </w:tr>
      <w:tr w:rsidR="006A4652" w14:paraId="6CB48D1C" w14:textId="77777777" w:rsidTr="228950F6">
        <w:tc>
          <w:tcPr>
            <w:tcW w:w="9360" w:type="dxa"/>
            <w:gridSpan w:val="2"/>
            <w:tcBorders>
              <w:left w:val="nil"/>
              <w:right w:val="nil"/>
            </w:tcBorders>
            <w:shd w:val="clear" w:color="auto" w:fill="F8F8F8"/>
            <w:tcMar>
              <w:top w:w="58" w:type="dxa"/>
              <w:left w:w="115" w:type="dxa"/>
              <w:bottom w:w="58" w:type="dxa"/>
              <w:right w:w="115" w:type="dxa"/>
            </w:tcMar>
          </w:tcPr>
          <w:p w14:paraId="539AE94B" w14:textId="77777777" w:rsidR="006A4652" w:rsidRPr="00854DDB" w:rsidRDefault="006A4652" w:rsidP="00357FB1">
            <w:pPr>
              <w:pStyle w:val="TableText"/>
              <w:rPr>
                <w:b/>
                <w:sz w:val="20"/>
                <w:szCs w:val="20"/>
              </w:rPr>
            </w:pPr>
            <w:r w:rsidRPr="00854DDB">
              <w:rPr>
                <w:b/>
                <w:sz w:val="20"/>
                <w:szCs w:val="20"/>
              </w:rPr>
              <w:t>Rationale</w:t>
            </w:r>
          </w:p>
          <w:p w14:paraId="78F4B5F0" w14:textId="77777777" w:rsidR="006A4652" w:rsidRDefault="006A4652" w:rsidP="00357FB1">
            <w:pPr>
              <w:pStyle w:val="TableText"/>
            </w:pPr>
            <w:r w:rsidRPr="00C02158">
              <w:t>Making use of common HRM interfaces greatly increases the ease with which community-based clinician report recipients gain access to clinical information, while satisfying HSP obligations pertaining to the delivery of results to requesting providers. Unlike the existing repository solutions, HRM automatically prompts recipient clinicians when a report is available. Further, by delivering a copy of that report into the recipient clinician’s EMR, the solution supports existing clinician workflo</w:t>
            </w:r>
            <w:r>
              <w:t xml:space="preserve">ws and annotation processes. </w:t>
            </w:r>
          </w:p>
          <w:p w14:paraId="5EF4B444" w14:textId="77777777" w:rsidR="006A4652" w:rsidRPr="0090778B" w:rsidRDefault="006A4652" w:rsidP="00357FB1">
            <w:pPr>
              <w:pStyle w:val="TableText"/>
            </w:pPr>
            <w:r w:rsidRPr="007A02E2">
              <w:t xml:space="preserve">Note that organizations interested in integrating with HRM should contact OntarioMD. See </w:t>
            </w:r>
            <w:hyperlink r:id="rId63" w:history="1">
              <w:r w:rsidRPr="002A1AE9">
                <w:rPr>
                  <w:rStyle w:val="Hyperlink"/>
                </w:rPr>
                <w:t>https://www.ontariomd.ca/emr-certification/emr-specification/library</w:t>
              </w:r>
            </w:hyperlink>
            <w:r w:rsidRPr="007A02E2">
              <w:t xml:space="preserve"> for additional details.</w:t>
            </w:r>
          </w:p>
        </w:tc>
      </w:tr>
    </w:tbl>
    <w:p w14:paraId="50623AD0" w14:textId="77777777" w:rsidR="006A4652" w:rsidRPr="00AD726A" w:rsidRDefault="006A4652" w:rsidP="00C66887">
      <w:pPr>
        <w:pStyle w:val="Heading2"/>
      </w:pPr>
      <w:bookmarkStart w:id="58" w:name="_Toc54611002"/>
      <w:r w:rsidRPr="00AD726A">
        <w:t xml:space="preserve">eNotification to Home and Community Care </w:t>
      </w:r>
      <w:r>
        <w:t>&amp; HRM</w:t>
      </w:r>
      <w:bookmarkEnd w:id="58"/>
    </w:p>
    <w:tbl>
      <w:tblPr>
        <w:tblStyle w:val="TableGrid"/>
        <w:tblW w:w="0" w:type="auto"/>
        <w:tblLook w:val="04A0" w:firstRow="1" w:lastRow="0" w:firstColumn="1" w:lastColumn="0" w:noHBand="0" w:noVBand="1"/>
      </w:tblPr>
      <w:tblGrid>
        <w:gridCol w:w="4680"/>
        <w:gridCol w:w="4680"/>
      </w:tblGrid>
      <w:tr w:rsidR="006A4652" w14:paraId="47E4FCEB" w14:textId="77777777" w:rsidTr="228950F6">
        <w:trPr>
          <w:trHeight w:val="1628"/>
        </w:trPr>
        <w:tc>
          <w:tcPr>
            <w:tcW w:w="4680" w:type="dxa"/>
            <w:tcBorders>
              <w:top w:val="single" w:sz="4" w:space="0" w:color="auto"/>
              <w:left w:val="nil"/>
              <w:bottom w:val="nil"/>
              <w:right w:val="nil"/>
            </w:tcBorders>
            <w:shd w:val="clear" w:color="auto" w:fill="F8F8F8"/>
            <w:tcMar>
              <w:top w:w="0" w:type="dxa"/>
              <w:left w:w="115" w:type="dxa"/>
              <w:bottom w:w="58" w:type="dxa"/>
              <w:right w:w="115" w:type="dxa"/>
            </w:tcMar>
          </w:tcPr>
          <w:p w14:paraId="637719A6" w14:textId="77777777" w:rsidR="006A4652" w:rsidRPr="00AD726A" w:rsidRDefault="006A4652" w:rsidP="00357FB1">
            <w:pPr>
              <w:pStyle w:val="TableText"/>
              <w:spacing w:before="0"/>
              <w:rPr>
                <w:rStyle w:val="Hyperlink"/>
                <w:lang w:val="en-CA" w:eastAsia="en-CA"/>
              </w:rPr>
            </w:pPr>
          </w:p>
          <w:p w14:paraId="394C3BD4" w14:textId="77777777" w:rsidR="006A4652" w:rsidRDefault="006A4652" w:rsidP="006A4652">
            <w:pPr>
              <w:pStyle w:val="TableText"/>
              <w:spacing w:before="80"/>
              <w:rPr>
                <w:b/>
                <w:sz w:val="20"/>
                <w:szCs w:val="20"/>
              </w:rPr>
            </w:pPr>
            <w:r>
              <w:rPr>
                <w:b/>
                <w:sz w:val="20"/>
                <w:szCs w:val="20"/>
              </w:rPr>
              <w:t>Description</w:t>
            </w:r>
          </w:p>
          <w:p w14:paraId="37C18388" w14:textId="245D74ED" w:rsidR="006A4652" w:rsidRPr="00532D9D" w:rsidRDefault="006A4652" w:rsidP="006A4652">
            <w:pPr>
              <w:pStyle w:val="TableText"/>
              <w:spacing w:before="80"/>
              <w:rPr>
                <w:b/>
                <w:sz w:val="20"/>
                <w:szCs w:val="20"/>
              </w:rPr>
            </w:pPr>
            <w:r w:rsidRPr="0090778B">
              <w:t>Provides real-time notification to Home and Community Care in CHRIS when patients present to an emergency department, are admitted or discharged from an acute care facility or are seen by EMS</w:t>
            </w:r>
            <w:r w:rsidR="00507931">
              <w:t>.</w:t>
            </w:r>
          </w:p>
        </w:tc>
        <w:tc>
          <w:tcPr>
            <w:tcW w:w="4680" w:type="dxa"/>
            <w:tcBorders>
              <w:top w:val="single" w:sz="4" w:space="0" w:color="auto"/>
              <w:left w:val="nil"/>
              <w:bottom w:val="nil"/>
              <w:right w:val="nil"/>
            </w:tcBorders>
            <w:shd w:val="clear" w:color="auto" w:fill="F8F8F8"/>
          </w:tcPr>
          <w:p w14:paraId="1AEE6FF1" w14:textId="77777777" w:rsidR="006A4652" w:rsidRDefault="006A4652" w:rsidP="00D51347">
            <w:pPr>
              <w:pStyle w:val="TableText"/>
              <w:spacing w:after="20"/>
              <w:rPr>
                <w:i/>
                <w:lang w:val="en-CA" w:eastAsia="en-CA"/>
              </w:rPr>
            </w:pPr>
          </w:p>
          <w:p w14:paraId="3D84BAB8" w14:textId="77777777" w:rsidR="006A4652" w:rsidRDefault="006A4652" w:rsidP="00D51347">
            <w:pPr>
              <w:pStyle w:val="TableText"/>
              <w:spacing w:after="20"/>
              <w:rPr>
                <w:i/>
                <w:lang w:val="en-CA" w:eastAsia="en-CA"/>
              </w:rPr>
            </w:pPr>
          </w:p>
          <w:p w14:paraId="51B5D624" w14:textId="47E67C5E" w:rsidR="006A4652" w:rsidRPr="003A6C11" w:rsidRDefault="006A4652" w:rsidP="00D51347">
            <w:pPr>
              <w:pStyle w:val="TableText"/>
              <w:spacing w:after="20"/>
              <w:rPr>
                <w:i/>
                <w:lang w:val="en-CA" w:eastAsia="en-CA"/>
              </w:rPr>
            </w:pPr>
            <w:r>
              <w:rPr>
                <w:noProof/>
              </w:rPr>
              <w:drawing>
                <wp:inline distT="0" distB="0" distL="0" distR="0" wp14:anchorId="36B92942" wp14:editId="086EC4CE">
                  <wp:extent cx="422694" cy="422694"/>
                  <wp:effectExtent l="0" t="0" r="0" b="0"/>
                  <wp:docPr id="2" name="Picture 2" descr="manager Icon 276355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0" cstate="screen">
                            <a:extLst>
                              <a:ext uri="{28A0092B-C50C-407E-A947-70E740481C1C}">
                                <a14:useLocalDpi xmlns:a14="http://schemas.microsoft.com/office/drawing/2010/main" val="0"/>
                              </a:ext>
                            </a:extLst>
                          </a:blip>
                          <a:stretch>
                            <a:fillRect/>
                          </a:stretch>
                        </pic:blipFill>
                        <pic:spPr>
                          <a:xfrm>
                            <a:off x="0" y="0"/>
                            <a:ext cx="422694" cy="422694"/>
                          </a:xfrm>
                          <a:prstGeom prst="rect">
                            <a:avLst/>
                          </a:prstGeom>
                        </pic:spPr>
                      </pic:pic>
                    </a:graphicData>
                  </a:graphic>
                </wp:inline>
              </w:drawing>
            </w:r>
          </w:p>
        </w:tc>
      </w:tr>
      <w:tr w:rsidR="006A4652" w14:paraId="4DCD2B46" w14:textId="77777777" w:rsidTr="228950F6">
        <w:tc>
          <w:tcPr>
            <w:tcW w:w="9360" w:type="dxa"/>
            <w:gridSpan w:val="2"/>
            <w:tcBorders>
              <w:top w:val="nil"/>
              <w:left w:val="nil"/>
              <w:bottom w:val="single" w:sz="4" w:space="0" w:color="auto"/>
              <w:right w:val="nil"/>
            </w:tcBorders>
            <w:shd w:val="clear" w:color="auto" w:fill="F8F8F8"/>
            <w:tcMar>
              <w:top w:w="0" w:type="dxa"/>
              <w:left w:w="115" w:type="dxa"/>
              <w:bottom w:w="58" w:type="dxa"/>
              <w:right w:w="115" w:type="dxa"/>
            </w:tcMar>
          </w:tcPr>
          <w:p w14:paraId="0424495F" w14:textId="144D04F3" w:rsidR="006A4652" w:rsidRPr="0090778B" w:rsidRDefault="006A4652" w:rsidP="006A4652">
            <w:pPr>
              <w:pStyle w:val="TableText"/>
              <w:spacing w:after="20"/>
            </w:pPr>
            <w:r w:rsidRPr="0090778B">
              <w:t>Notifications are also forwarded by CHRIS through Health Report Manager (HRM) to the EMR of the patient’s family physician to inform him/her that his/her patient has been discharged from the hospital’s Emergency Department or admitted to</w:t>
            </w:r>
            <w:r w:rsidR="00FF0B65">
              <w:t>,</w:t>
            </w:r>
            <w:r w:rsidRPr="0090778B">
              <w:t xml:space="preserve"> or discharged from</w:t>
            </w:r>
            <w:r w:rsidR="00FF0B65">
              <w:t>,</w:t>
            </w:r>
            <w:r w:rsidRPr="0090778B">
              <w:t xml:space="preserve"> an in-patient unit. They are seamlessly integrated into the EMR and the physician’s workflow</w:t>
            </w:r>
            <w:r w:rsidR="00507931">
              <w:t>.</w:t>
            </w:r>
          </w:p>
          <w:p w14:paraId="7F1F6865" w14:textId="77777777" w:rsidR="006A4652" w:rsidRPr="00AD726A" w:rsidRDefault="006A4652" w:rsidP="006A4652">
            <w:pPr>
              <w:pStyle w:val="TableText"/>
              <w:spacing w:before="0"/>
              <w:rPr>
                <w:lang w:val="en-CA" w:eastAsia="en-CA"/>
              </w:rPr>
            </w:pPr>
          </w:p>
          <w:p w14:paraId="482EFDD8" w14:textId="6E4B450F" w:rsidR="006A4652" w:rsidRPr="00D51347" w:rsidRDefault="006A4652" w:rsidP="00A87056">
            <w:pPr>
              <w:pStyle w:val="TableText"/>
              <w:spacing w:before="0"/>
              <w:rPr>
                <w:rStyle w:val="Hyperlink"/>
                <w:color w:val="auto"/>
                <w:u w:val="none"/>
              </w:rPr>
            </w:pPr>
            <w:r w:rsidRPr="00AD726A">
              <w:rPr>
                <w:lang w:val="en-CA" w:eastAsia="en-CA"/>
              </w:rPr>
              <w:t>This integration can occur through conformance to the specification</w:t>
            </w:r>
            <w:r>
              <w:rPr>
                <w:lang w:val="en-CA" w:eastAsia="en-CA"/>
              </w:rPr>
              <w:t>s</w:t>
            </w:r>
            <w:r w:rsidR="003A3AEA">
              <w:rPr>
                <w:lang w:val="en-CA" w:eastAsia="en-CA"/>
              </w:rPr>
              <w:t xml:space="preserve"> available on</w:t>
            </w:r>
            <w:r w:rsidR="003A3AEA" w:rsidRPr="003A3AEA">
              <w:rPr>
                <w:lang w:val="en-CA" w:eastAsia="en-CA"/>
              </w:rPr>
              <w:t xml:space="preserve"> request via em</w:t>
            </w:r>
            <w:r w:rsidR="003A3AEA">
              <w:rPr>
                <w:lang w:val="en-CA" w:eastAsia="en-CA"/>
              </w:rPr>
              <w:t>ail to</w:t>
            </w:r>
            <w:r w:rsidR="003A3AEA" w:rsidRPr="003A3AEA">
              <w:rPr>
                <w:lang w:val="en-CA" w:eastAsia="en-CA"/>
              </w:rPr>
              <w:t xml:space="preserve"> </w:t>
            </w:r>
            <w:hyperlink r:id="rId64" w:history="1">
              <w:r w:rsidR="003A3AEA" w:rsidRPr="003A3AEA">
                <w:rPr>
                  <w:rStyle w:val="Hyperlink"/>
                  <w:lang w:val="en-CA" w:eastAsia="en-CA"/>
                </w:rPr>
                <w:t>ESD-Technicians@hssontario.ca</w:t>
              </w:r>
            </w:hyperlink>
            <w:r w:rsidR="003A3AEA">
              <w:rPr>
                <w:lang w:val="en-CA" w:eastAsia="en-CA"/>
              </w:rPr>
              <w:t>.</w:t>
            </w:r>
          </w:p>
        </w:tc>
      </w:tr>
      <w:tr w:rsidR="006A4652" w14:paraId="1CEEC431" w14:textId="77777777" w:rsidTr="228950F6">
        <w:tc>
          <w:tcPr>
            <w:tcW w:w="9360" w:type="dxa"/>
            <w:gridSpan w:val="2"/>
            <w:tcBorders>
              <w:top w:val="single" w:sz="4" w:space="0" w:color="auto"/>
              <w:left w:val="nil"/>
              <w:right w:val="nil"/>
            </w:tcBorders>
            <w:tcMar>
              <w:top w:w="58" w:type="dxa"/>
              <w:left w:w="115" w:type="dxa"/>
              <w:bottom w:w="58" w:type="dxa"/>
              <w:right w:w="115" w:type="dxa"/>
            </w:tcMar>
          </w:tcPr>
          <w:p w14:paraId="36C7950B" w14:textId="3DE11F3A" w:rsidR="006A4652" w:rsidRPr="00732B8D" w:rsidRDefault="006A4652" w:rsidP="00357FB1">
            <w:pPr>
              <w:pStyle w:val="TableText"/>
              <w:rPr>
                <w:b/>
                <w:sz w:val="20"/>
                <w:szCs w:val="20"/>
                <w:lang w:val="en-CA" w:eastAsia="en-CA"/>
              </w:rPr>
            </w:pPr>
            <w:r>
              <w:rPr>
                <w:b/>
                <w:sz w:val="20"/>
                <w:szCs w:val="20"/>
                <w:lang w:val="en-CA" w:eastAsia="en-CA"/>
              </w:rPr>
              <w:t xml:space="preserve">Expected Response </w:t>
            </w:r>
            <w:r w:rsidR="00FF0B65">
              <w:rPr>
                <w:b/>
                <w:sz w:val="20"/>
                <w:szCs w:val="20"/>
                <w:lang w:val="en-CA" w:eastAsia="en-CA"/>
              </w:rPr>
              <w:t>f</w:t>
            </w:r>
            <w:r w:rsidRPr="00732B8D">
              <w:rPr>
                <w:b/>
                <w:sz w:val="20"/>
                <w:szCs w:val="20"/>
                <w:lang w:val="en-CA" w:eastAsia="en-CA"/>
              </w:rPr>
              <w:t>rom Vendor</w:t>
            </w:r>
          </w:p>
          <w:p w14:paraId="21ADA063" w14:textId="4F1667A8" w:rsidR="006A4652" w:rsidRPr="00DE5131" w:rsidRDefault="006A4652" w:rsidP="00357FB1">
            <w:pPr>
              <w:pStyle w:val="TableText"/>
              <w:rPr>
                <w:lang w:val="en-CA" w:eastAsia="en-CA"/>
              </w:rPr>
            </w:pPr>
            <w:r w:rsidRPr="00DE5131">
              <w:rPr>
                <w:lang w:val="en-CA" w:eastAsia="en-CA"/>
              </w:rPr>
              <w:t xml:space="preserve">Preference will be given to responses that demonstrate previous experience integrating with </w:t>
            </w:r>
            <w:r>
              <w:rPr>
                <w:lang w:val="en-CA" w:eastAsia="en-CA"/>
              </w:rPr>
              <w:t xml:space="preserve">HL7 Interfaces </w:t>
            </w:r>
            <w:r w:rsidRPr="00DE5131">
              <w:rPr>
                <w:lang w:val="en-CA" w:eastAsia="en-CA"/>
              </w:rPr>
              <w:t xml:space="preserve">in other deployments. </w:t>
            </w:r>
          </w:p>
        </w:tc>
      </w:tr>
      <w:tr w:rsidR="006A4652" w14:paraId="68C5AB31" w14:textId="77777777" w:rsidTr="228950F6">
        <w:tc>
          <w:tcPr>
            <w:tcW w:w="9360" w:type="dxa"/>
            <w:gridSpan w:val="2"/>
            <w:tcBorders>
              <w:left w:val="nil"/>
              <w:right w:val="nil"/>
            </w:tcBorders>
            <w:shd w:val="clear" w:color="auto" w:fill="F8F8F8"/>
            <w:tcMar>
              <w:top w:w="58" w:type="dxa"/>
              <w:left w:w="115" w:type="dxa"/>
              <w:bottom w:w="58" w:type="dxa"/>
              <w:right w:w="115" w:type="dxa"/>
            </w:tcMar>
          </w:tcPr>
          <w:p w14:paraId="0EE9578E" w14:textId="77777777" w:rsidR="006A4652" w:rsidRPr="00732B8D" w:rsidRDefault="006A4652" w:rsidP="00357FB1">
            <w:pPr>
              <w:pStyle w:val="TableText"/>
              <w:rPr>
                <w:b/>
                <w:sz w:val="20"/>
                <w:szCs w:val="20"/>
                <w:lang w:val="en-CA" w:eastAsia="en-CA"/>
              </w:rPr>
            </w:pPr>
            <w:r w:rsidRPr="00732B8D">
              <w:rPr>
                <w:b/>
                <w:sz w:val="20"/>
                <w:szCs w:val="20"/>
                <w:lang w:val="en-CA" w:eastAsia="en-CA"/>
              </w:rPr>
              <w:t>Rationale</w:t>
            </w:r>
          </w:p>
          <w:p w14:paraId="28D0AE91" w14:textId="08F2AEAB" w:rsidR="006A4652" w:rsidRPr="003A6C11" w:rsidRDefault="006A4652" w:rsidP="007C6D95">
            <w:pPr>
              <w:pStyle w:val="TableText"/>
              <w:rPr>
                <w:sz w:val="22"/>
                <w:lang w:val="en-CA" w:eastAsia="en-CA"/>
              </w:rPr>
            </w:pPr>
            <w:r w:rsidRPr="00FF0B65">
              <w:rPr>
                <w:lang w:val="en-CA" w:eastAsia="en-CA"/>
              </w:rPr>
              <w:t xml:space="preserve">eNotification services provide real-time alerts to health care teams on patient status and location, preventing missed home care visits. EMS notifications provide information if the patient was transported from home to a hospital, as well as alerting health care teams if an </w:t>
            </w:r>
            <w:r w:rsidR="007C6D95">
              <w:rPr>
                <w:lang w:val="en-CA" w:eastAsia="en-CA"/>
              </w:rPr>
              <w:t>opioid</w:t>
            </w:r>
            <w:r w:rsidR="007C6D95" w:rsidRPr="00FF0B65">
              <w:rPr>
                <w:lang w:val="en-CA" w:eastAsia="en-CA"/>
              </w:rPr>
              <w:t xml:space="preserve"> </w:t>
            </w:r>
            <w:r w:rsidRPr="00FF0B65">
              <w:rPr>
                <w:lang w:val="en-CA" w:eastAsia="en-CA"/>
              </w:rPr>
              <w:t>or COVID-19 event has occurred. eNotifications contribute to faster follow-up care after a patient has been hospitalized. After receiving an eNotification, physicians know they will subsequently receive a discharge summary and/or other reports from the hospital after the hospital has prepared the report(s) for electronic transmission.</w:t>
            </w:r>
          </w:p>
        </w:tc>
      </w:tr>
    </w:tbl>
    <w:p w14:paraId="3D271C38" w14:textId="77777777" w:rsidR="006A4652" w:rsidRPr="00AD726A" w:rsidRDefault="006A4652" w:rsidP="00560BD5">
      <w:pPr>
        <w:pStyle w:val="Heading2"/>
      </w:pPr>
      <w:bookmarkStart w:id="59" w:name="_Toc54611003"/>
      <w:r>
        <w:t>eReferral</w:t>
      </w:r>
      <w:r w:rsidRPr="00AD726A">
        <w:t xml:space="preserve"> to Home and Community Care</w:t>
      </w:r>
      <w:bookmarkEnd w:id="59"/>
      <w:r w:rsidRPr="00AD726A">
        <w:t xml:space="preserve"> </w:t>
      </w:r>
    </w:p>
    <w:tbl>
      <w:tblPr>
        <w:tblStyle w:val="TableGrid"/>
        <w:tblW w:w="0" w:type="auto"/>
        <w:tblLook w:val="04A0" w:firstRow="1" w:lastRow="0" w:firstColumn="1" w:lastColumn="0" w:noHBand="0" w:noVBand="1"/>
      </w:tblPr>
      <w:tblGrid>
        <w:gridCol w:w="4680"/>
        <w:gridCol w:w="4680"/>
      </w:tblGrid>
      <w:tr w:rsidR="00507931" w14:paraId="46945AA0" w14:textId="77777777" w:rsidTr="228950F6">
        <w:tc>
          <w:tcPr>
            <w:tcW w:w="4680" w:type="dxa"/>
            <w:tcBorders>
              <w:top w:val="single" w:sz="4" w:space="0" w:color="auto"/>
              <w:left w:val="nil"/>
              <w:right w:val="nil"/>
            </w:tcBorders>
            <w:shd w:val="clear" w:color="auto" w:fill="F8F8F8"/>
            <w:tcMar>
              <w:top w:w="0" w:type="dxa"/>
              <w:left w:w="115" w:type="dxa"/>
              <w:bottom w:w="58" w:type="dxa"/>
              <w:right w:w="115" w:type="dxa"/>
            </w:tcMar>
          </w:tcPr>
          <w:p w14:paraId="78FCEC5D" w14:textId="77777777" w:rsidR="00507931" w:rsidRPr="00E3088C" w:rsidRDefault="00507931" w:rsidP="00E3088C">
            <w:pPr>
              <w:pStyle w:val="TableText"/>
              <w:rPr>
                <w:b/>
                <w:lang w:val="en-CA" w:eastAsia="en-CA"/>
              </w:rPr>
            </w:pPr>
            <w:r w:rsidRPr="00E3088C">
              <w:rPr>
                <w:b/>
                <w:lang w:val="en-CA" w:eastAsia="en-CA"/>
              </w:rPr>
              <w:t>Description</w:t>
            </w:r>
          </w:p>
          <w:p w14:paraId="20725B6D" w14:textId="03DCD006" w:rsidR="00507931" w:rsidRPr="00E3088C" w:rsidRDefault="00507931" w:rsidP="00E3088C">
            <w:pPr>
              <w:pStyle w:val="TableText"/>
              <w:rPr>
                <w:lang w:val="en-CA" w:eastAsia="en-CA"/>
              </w:rPr>
            </w:pPr>
            <w:r w:rsidRPr="00E3088C">
              <w:rPr>
                <w:lang w:val="en-CA" w:eastAsia="en-CA"/>
              </w:rPr>
              <w:t xml:space="preserve">Supports </w:t>
            </w:r>
            <w:r w:rsidR="00873BEE">
              <w:rPr>
                <w:lang w:val="en-CA" w:eastAsia="en-CA"/>
              </w:rPr>
              <w:t>Home and Community Care in receiving</w:t>
            </w:r>
            <w:r w:rsidRPr="00E3088C">
              <w:rPr>
                <w:lang w:val="en-CA" w:eastAsia="en-CA"/>
              </w:rPr>
              <w:t xml:space="preserve"> standardized referrals from hospitals and emergency medical services (EMS)</w:t>
            </w:r>
            <w:r w:rsidR="00873BEE">
              <w:rPr>
                <w:lang w:val="en-CA" w:eastAsia="en-CA"/>
              </w:rPr>
              <w:t xml:space="preserve">, </w:t>
            </w:r>
            <w:r w:rsidRPr="00E3088C">
              <w:rPr>
                <w:lang w:val="en-CA" w:eastAsia="en-CA"/>
              </w:rPr>
              <w:t xml:space="preserve">streamlining intake and status update processes. </w:t>
            </w:r>
          </w:p>
          <w:p w14:paraId="4102A802" w14:textId="40A6C8BC" w:rsidR="00507931" w:rsidRDefault="003A3AEA" w:rsidP="00E3088C">
            <w:pPr>
              <w:pStyle w:val="TableText"/>
              <w:spacing w:before="0"/>
              <w:rPr>
                <w:sz w:val="23"/>
                <w:szCs w:val="23"/>
              </w:rPr>
            </w:pPr>
            <w:r w:rsidRPr="00AD726A">
              <w:rPr>
                <w:lang w:val="en-CA" w:eastAsia="en-CA"/>
              </w:rPr>
              <w:t>This integration can occur through conformance to the specification</w:t>
            </w:r>
            <w:r>
              <w:rPr>
                <w:lang w:val="en-CA" w:eastAsia="en-CA"/>
              </w:rPr>
              <w:t>s available on</w:t>
            </w:r>
            <w:r w:rsidRPr="003A3AEA">
              <w:rPr>
                <w:lang w:val="en-CA" w:eastAsia="en-CA"/>
              </w:rPr>
              <w:t xml:space="preserve"> request via em</w:t>
            </w:r>
            <w:r>
              <w:rPr>
                <w:lang w:val="en-CA" w:eastAsia="en-CA"/>
              </w:rPr>
              <w:t>ail to</w:t>
            </w:r>
            <w:r w:rsidRPr="003A3AEA">
              <w:rPr>
                <w:lang w:val="en-CA" w:eastAsia="en-CA"/>
              </w:rPr>
              <w:t xml:space="preserve"> </w:t>
            </w:r>
            <w:hyperlink r:id="rId65" w:history="1">
              <w:r w:rsidRPr="003A3AEA">
                <w:rPr>
                  <w:rStyle w:val="Hyperlink"/>
                  <w:lang w:val="en-CA" w:eastAsia="en-CA"/>
                </w:rPr>
                <w:t>ESD-Technicians@hssontario.ca</w:t>
              </w:r>
            </w:hyperlink>
            <w:r>
              <w:rPr>
                <w:lang w:val="en-CA" w:eastAsia="en-CA"/>
              </w:rPr>
              <w:t>.</w:t>
            </w:r>
          </w:p>
        </w:tc>
        <w:tc>
          <w:tcPr>
            <w:tcW w:w="4680" w:type="dxa"/>
            <w:tcBorders>
              <w:top w:val="single" w:sz="4" w:space="0" w:color="auto"/>
              <w:left w:val="nil"/>
              <w:right w:val="nil"/>
            </w:tcBorders>
            <w:shd w:val="clear" w:color="auto" w:fill="F8F8F8"/>
          </w:tcPr>
          <w:p w14:paraId="5680C7A5" w14:textId="77777777" w:rsidR="00507931" w:rsidRDefault="00507931" w:rsidP="00357FB1">
            <w:pPr>
              <w:pStyle w:val="TableText"/>
              <w:spacing w:before="0"/>
              <w:rPr>
                <w:i/>
                <w:lang w:val="en-CA" w:eastAsia="en-CA"/>
              </w:rPr>
            </w:pPr>
          </w:p>
          <w:p w14:paraId="46CC472F" w14:textId="77777777" w:rsidR="00507931" w:rsidRDefault="00507931" w:rsidP="00357FB1">
            <w:pPr>
              <w:pStyle w:val="TableText"/>
              <w:spacing w:before="0"/>
              <w:rPr>
                <w:i/>
                <w:lang w:val="en-CA" w:eastAsia="en-CA"/>
              </w:rPr>
            </w:pPr>
          </w:p>
          <w:p w14:paraId="48D24B02" w14:textId="703E0F2B" w:rsidR="00507931" w:rsidRPr="003A6C11" w:rsidRDefault="00507931" w:rsidP="00357FB1">
            <w:pPr>
              <w:pStyle w:val="TableText"/>
              <w:spacing w:before="0"/>
              <w:rPr>
                <w:i/>
                <w:lang w:val="en-CA" w:eastAsia="en-CA"/>
              </w:rPr>
            </w:pPr>
            <w:r>
              <w:rPr>
                <w:noProof/>
              </w:rPr>
              <w:drawing>
                <wp:inline distT="0" distB="0" distL="0" distR="0" wp14:anchorId="786AB827" wp14:editId="3F7E06FC">
                  <wp:extent cx="422694" cy="422694"/>
                  <wp:effectExtent l="0" t="0" r="0" b="0"/>
                  <wp:docPr id="5" name="Picture 5" descr="manager Icon 276355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0" cstate="screen">
                            <a:extLst>
                              <a:ext uri="{28A0092B-C50C-407E-A947-70E740481C1C}">
                                <a14:useLocalDpi xmlns:a14="http://schemas.microsoft.com/office/drawing/2010/main" val="0"/>
                              </a:ext>
                            </a:extLst>
                          </a:blip>
                          <a:stretch>
                            <a:fillRect/>
                          </a:stretch>
                        </pic:blipFill>
                        <pic:spPr>
                          <a:xfrm>
                            <a:off x="0" y="0"/>
                            <a:ext cx="422694" cy="422694"/>
                          </a:xfrm>
                          <a:prstGeom prst="rect">
                            <a:avLst/>
                          </a:prstGeom>
                        </pic:spPr>
                      </pic:pic>
                    </a:graphicData>
                  </a:graphic>
                </wp:inline>
              </w:drawing>
            </w:r>
          </w:p>
        </w:tc>
      </w:tr>
      <w:tr w:rsidR="006A4652" w14:paraId="4769C1D4" w14:textId="77777777" w:rsidTr="228950F6">
        <w:tc>
          <w:tcPr>
            <w:tcW w:w="9360" w:type="dxa"/>
            <w:gridSpan w:val="2"/>
            <w:tcBorders>
              <w:left w:val="nil"/>
              <w:right w:val="nil"/>
            </w:tcBorders>
            <w:tcMar>
              <w:top w:w="58" w:type="dxa"/>
              <w:left w:w="115" w:type="dxa"/>
              <w:bottom w:w="58" w:type="dxa"/>
              <w:right w:w="115" w:type="dxa"/>
            </w:tcMar>
          </w:tcPr>
          <w:p w14:paraId="4465903B" w14:textId="6ADB6007" w:rsidR="006A4652" w:rsidRPr="00732B8D" w:rsidRDefault="006A4652" w:rsidP="00357FB1">
            <w:pPr>
              <w:pStyle w:val="TableText"/>
              <w:rPr>
                <w:b/>
                <w:sz w:val="20"/>
                <w:szCs w:val="20"/>
                <w:lang w:val="en-CA" w:eastAsia="en-CA"/>
              </w:rPr>
            </w:pPr>
            <w:r>
              <w:rPr>
                <w:b/>
                <w:sz w:val="20"/>
                <w:szCs w:val="20"/>
                <w:lang w:val="en-CA" w:eastAsia="en-CA"/>
              </w:rPr>
              <w:t xml:space="preserve">Expected Response </w:t>
            </w:r>
            <w:r w:rsidR="006E0E25">
              <w:rPr>
                <w:b/>
                <w:sz w:val="20"/>
                <w:szCs w:val="20"/>
                <w:lang w:val="en-CA" w:eastAsia="en-CA"/>
              </w:rPr>
              <w:t>f</w:t>
            </w:r>
            <w:r w:rsidRPr="00732B8D">
              <w:rPr>
                <w:b/>
                <w:sz w:val="20"/>
                <w:szCs w:val="20"/>
                <w:lang w:val="en-CA" w:eastAsia="en-CA"/>
              </w:rPr>
              <w:t>rom Vendor</w:t>
            </w:r>
          </w:p>
          <w:p w14:paraId="075AF4B0" w14:textId="77777777" w:rsidR="006A4652" w:rsidRPr="00DE5131" w:rsidRDefault="006A4652" w:rsidP="00357FB1">
            <w:pPr>
              <w:pStyle w:val="TableText"/>
              <w:rPr>
                <w:lang w:val="en-CA" w:eastAsia="en-CA"/>
              </w:rPr>
            </w:pPr>
            <w:r w:rsidRPr="00DE5131">
              <w:rPr>
                <w:lang w:val="en-CA" w:eastAsia="en-CA"/>
              </w:rPr>
              <w:t xml:space="preserve">Preference will be given to responses that demonstrate previous experience integrating with </w:t>
            </w:r>
            <w:r>
              <w:rPr>
                <w:lang w:val="en-CA" w:eastAsia="en-CA"/>
              </w:rPr>
              <w:t xml:space="preserve">HL7 Interface </w:t>
            </w:r>
            <w:r w:rsidRPr="00DE5131">
              <w:rPr>
                <w:lang w:val="en-CA" w:eastAsia="en-CA"/>
              </w:rPr>
              <w:t xml:space="preserve">in other deployments. </w:t>
            </w:r>
          </w:p>
        </w:tc>
      </w:tr>
      <w:tr w:rsidR="006A4652" w14:paraId="007EEE23" w14:textId="77777777" w:rsidTr="228950F6">
        <w:tc>
          <w:tcPr>
            <w:tcW w:w="9360" w:type="dxa"/>
            <w:gridSpan w:val="2"/>
            <w:tcBorders>
              <w:left w:val="nil"/>
              <w:right w:val="nil"/>
            </w:tcBorders>
            <w:shd w:val="clear" w:color="auto" w:fill="F8F8F8"/>
            <w:tcMar>
              <w:top w:w="58" w:type="dxa"/>
              <w:left w:w="115" w:type="dxa"/>
              <w:bottom w:w="58" w:type="dxa"/>
              <w:right w:w="115" w:type="dxa"/>
            </w:tcMar>
          </w:tcPr>
          <w:p w14:paraId="3F3DBD34" w14:textId="77777777" w:rsidR="006A4652" w:rsidRPr="00732B8D" w:rsidRDefault="006A4652" w:rsidP="00357FB1">
            <w:pPr>
              <w:pStyle w:val="TableText"/>
              <w:rPr>
                <w:b/>
                <w:sz w:val="20"/>
                <w:szCs w:val="20"/>
                <w:lang w:val="en-CA" w:eastAsia="en-CA"/>
              </w:rPr>
            </w:pPr>
            <w:r w:rsidRPr="00732B8D">
              <w:rPr>
                <w:b/>
                <w:sz w:val="20"/>
                <w:szCs w:val="20"/>
                <w:lang w:val="en-CA" w:eastAsia="en-CA"/>
              </w:rPr>
              <w:t>Rationale</w:t>
            </w:r>
          </w:p>
          <w:p w14:paraId="3E904FE7" w14:textId="4C818073" w:rsidR="006A4652" w:rsidRPr="00D8600B" w:rsidRDefault="006A4652" w:rsidP="00D8600B">
            <w:pPr>
              <w:pStyle w:val="TableText"/>
              <w:rPr>
                <w:lang w:val="en-CA" w:eastAsia="en-CA"/>
              </w:rPr>
            </w:pPr>
            <w:r w:rsidRPr="00D8600B">
              <w:rPr>
                <w:lang w:val="en-CA" w:eastAsia="en-CA"/>
              </w:rPr>
              <w:t xml:space="preserve">eReferral helps to address the challenge of fragmentation across a high number of disconnected systems that make it difficult to share patient information. Traditional referrals are also often lost, incomplete and provide little to no transparency for the referrer or patient. </w:t>
            </w:r>
          </w:p>
          <w:p w14:paraId="2203A288" w14:textId="123D522D" w:rsidR="006A4652" w:rsidRPr="00D379ED" w:rsidRDefault="006A4652" w:rsidP="00D8600B">
            <w:pPr>
              <w:pStyle w:val="TableText"/>
              <w:rPr>
                <w:lang w:val="en-CA" w:eastAsia="en-CA"/>
              </w:rPr>
            </w:pPr>
            <w:r w:rsidRPr="00D379ED">
              <w:rPr>
                <w:lang w:val="en-CA" w:eastAsia="en-CA"/>
              </w:rPr>
              <w:t xml:space="preserve">Supports the planning and delivery of home care services by </w:t>
            </w:r>
            <w:r w:rsidR="000A0072">
              <w:rPr>
                <w:lang w:val="en-CA" w:eastAsia="en-CA"/>
              </w:rPr>
              <w:t>h</w:t>
            </w:r>
            <w:r w:rsidRPr="00D379ED">
              <w:rPr>
                <w:lang w:val="en-CA" w:eastAsia="en-CA"/>
              </w:rPr>
              <w:t xml:space="preserve">ome </w:t>
            </w:r>
            <w:r w:rsidR="000A0072">
              <w:rPr>
                <w:lang w:val="en-CA" w:eastAsia="en-CA"/>
              </w:rPr>
              <w:t>c</w:t>
            </w:r>
            <w:r w:rsidRPr="00D379ED">
              <w:rPr>
                <w:lang w:val="en-CA" w:eastAsia="en-CA"/>
              </w:rPr>
              <w:t xml:space="preserve">are </w:t>
            </w:r>
            <w:r w:rsidR="000A0072">
              <w:rPr>
                <w:lang w:val="en-CA" w:eastAsia="en-CA"/>
              </w:rPr>
              <w:t>a</w:t>
            </w:r>
            <w:r w:rsidRPr="00D379ED">
              <w:rPr>
                <w:lang w:val="en-CA" w:eastAsia="en-CA"/>
              </w:rPr>
              <w:t xml:space="preserve">gencies and </w:t>
            </w:r>
            <w:r w:rsidR="000A0072">
              <w:rPr>
                <w:lang w:val="en-CA" w:eastAsia="en-CA"/>
              </w:rPr>
              <w:t xml:space="preserve">the </w:t>
            </w:r>
            <w:r w:rsidRPr="00D379ED">
              <w:rPr>
                <w:lang w:val="en-CA" w:eastAsia="en-CA"/>
              </w:rPr>
              <w:t xml:space="preserve">reporting of service utilization for home and community care to the </w:t>
            </w:r>
            <w:r w:rsidR="000A0072">
              <w:rPr>
                <w:lang w:val="en-CA" w:eastAsia="en-CA"/>
              </w:rPr>
              <w:t>M</w:t>
            </w:r>
            <w:r w:rsidRPr="00D379ED">
              <w:rPr>
                <w:lang w:val="en-CA" w:eastAsia="en-CA"/>
              </w:rPr>
              <w:t>inistry</w:t>
            </w:r>
            <w:r w:rsidR="000A0072">
              <w:rPr>
                <w:lang w:val="en-CA" w:eastAsia="en-CA"/>
              </w:rPr>
              <w:t xml:space="preserve"> of Health</w:t>
            </w:r>
            <w:r w:rsidRPr="00D379ED">
              <w:rPr>
                <w:lang w:val="en-CA" w:eastAsia="en-CA"/>
              </w:rPr>
              <w:t>.</w:t>
            </w:r>
          </w:p>
        </w:tc>
      </w:tr>
    </w:tbl>
    <w:p w14:paraId="2AE9F125" w14:textId="437BED8A" w:rsidR="00F9702A" w:rsidRDefault="00F9702A" w:rsidP="0DCEC5F2">
      <w:pPr>
        <w:pStyle w:val="Heading1"/>
      </w:pPr>
      <w:bookmarkStart w:id="60" w:name="_Toc50629263"/>
      <w:bookmarkStart w:id="61" w:name="_Toc50629524"/>
      <w:bookmarkStart w:id="62" w:name="_Toc50638354"/>
      <w:bookmarkStart w:id="63" w:name="_Toc50640415"/>
      <w:bookmarkStart w:id="64" w:name="_Toc54611004"/>
      <w:bookmarkEnd w:id="57"/>
      <w:bookmarkEnd w:id="60"/>
      <w:bookmarkEnd w:id="61"/>
      <w:bookmarkEnd w:id="62"/>
      <w:bookmarkEnd w:id="63"/>
      <w:r>
        <w:t>Secure Authentication and Access Requirements</w:t>
      </w:r>
      <w:bookmarkEnd w:id="64"/>
    </w:p>
    <w:tbl>
      <w:tblPr>
        <w:tblStyle w:val="TableGrid"/>
        <w:tblW w:w="9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ayout w:type="fixed"/>
        <w:tblLook w:val="04A0" w:firstRow="1" w:lastRow="0" w:firstColumn="1" w:lastColumn="0" w:noHBand="0" w:noVBand="1"/>
      </w:tblPr>
      <w:tblGrid>
        <w:gridCol w:w="900"/>
        <w:gridCol w:w="8364"/>
      </w:tblGrid>
      <w:tr w:rsidR="00FB1576" w14:paraId="51DCC410" w14:textId="77777777" w:rsidTr="228950F6">
        <w:tc>
          <w:tcPr>
            <w:tcW w:w="900" w:type="dxa"/>
            <w:shd w:val="clear" w:color="auto" w:fill="EEECE1" w:themeFill="background2"/>
          </w:tcPr>
          <w:p w14:paraId="68770910" w14:textId="7E65B4B5" w:rsidR="006F33B2" w:rsidRPr="00B43C7D" w:rsidRDefault="0086327F" w:rsidP="00805359">
            <w:pPr>
              <w:pStyle w:val="Body"/>
            </w:pPr>
            <w:r>
              <w:rPr>
                <w:rFonts w:ascii="Medium-65" w:hAnsi="Medium-65" w:cs="Arial"/>
                <w:noProof/>
                <w:color w:val="6D6D6D"/>
                <w:sz w:val="21"/>
                <w:szCs w:val="21"/>
              </w:rPr>
              <w:drawing>
                <wp:inline distT="0" distB="0" distL="0" distR="0" wp14:anchorId="13D3B75B" wp14:editId="33874F7B">
                  <wp:extent cx="489381" cy="489381"/>
                  <wp:effectExtent l="0" t="0" r="6350" b="6350"/>
                  <wp:docPr id="33" name="Picture 33" descr="authentication Icon 3160355">
                    <a:hlinkClick xmlns:a="http://schemas.openxmlformats.org/drawingml/2006/main" r:id="rId66" tooltip="&quot;authent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thentication Icon 3160355">
                            <a:hlinkClick r:id="rId66" tooltip="&quot;authentication&quot;"/>
                          </pic:cNvPr>
                          <pic:cNvPicPr>
                            <a:picLocks noChangeAspect="1" noChangeArrowheads="1"/>
                          </pic:cNvPicPr>
                        </pic:nvPicPr>
                        <pic:blipFill>
                          <a:blip r:embed="rId67" cstate="screen">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9558" cy="509558"/>
                          </a:xfrm>
                          <a:prstGeom prst="rect">
                            <a:avLst/>
                          </a:prstGeom>
                          <a:noFill/>
                          <a:ln>
                            <a:noFill/>
                          </a:ln>
                        </pic:spPr>
                      </pic:pic>
                    </a:graphicData>
                  </a:graphic>
                </wp:inline>
              </w:drawing>
            </w:r>
          </w:p>
        </w:tc>
        <w:tc>
          <w:tcPr>
            <w:tcW w:w="8364" w:type="dxa"/>
            <w:shd w:val="clear" w:color="auto" w:fill="EEECE1" w:themeFill="background2"/>
            <w:vAlign w:val="center"/>
          </w:tcPr>
          <w:p w14:paraId="39A38973" w14:textId="1AF8AB0C" w:rsidR="006F33B2" w:rsidRPr="00654F4B" w:rsidRDefault="006F33B2" w:rsidP="0086327F">
            <w:pPr>
              <w:pStyle w:val="Body"/>
              <w:spacing w:line="240" w:lineRule="auto"/>
              <w:rPr>
                <w:color w:val="404040" w:themeColor="text1" w:themeTint="BF"/>
                <w:spacing w:val="-2"/>
                <w:sz w:val="20"/>
                <w:szCs w:val="20"/>
              </w:rPr>
            </w:pPr>
            <w:r w:rsidRPr="00917C5A">
              <w:rPr>
                <w:color w:val="404040" w:themeColor="text1" w:themeTint="BF"/>
                <w:spacing w:val="-2"/>
                <w:sz w:val="20"/>
                <w:szCs w:val="20"/>
              </w:rPr>
              <w:t xml:space="preserve">The following </w:t>
            </w:r>
            <w:r w:rsidRPr="009B7A32">
              <w:rPr>
                <w:color w:val="404040" w:themeColor="text1" w:themeTint="BF"/>
                <w:spacing w:val="-2"/>
                <w:sz w:val="20"/>
                <w:szCs w:val="20"/>
              </w:rPr>
              <w:t xml:space="preserve">requirements for </w:t>
            </w:r>
            <w:r w:rsidRPr="009B7A32">
              <w:rPr>
                <w:rFonts w:asciiTheme="minorHAnsi" w:hAnsiTheme="minorHAnsi"/>
                <w:b/>
                <w:color w:val="C05B08"/>
                <w:spacing w:val="-2"/>
                <w:sz w:val="18"/>
                <w:szCs w:val="18"/>
              </w:rPr>
              <w:t>s</w:t>
            </w:r>
            <w:r>
              <w:rPr>
                <w:rFonts w:asciiTheme="minorHAnsi" w:hAnsiTheme="minorHAnsi"/>
                <w:b/>
                <w:color w:val="C05B08"/>
                <w:spacing w:val="-2"/>
                <w:sz w:val="18"/>
                <w:szCs w:val="18"/>
              </w:rPr>
              <w:t xml:space="preserve">ecure </w:t>
            </w:r>
            <w:r w:rsidR="0086327F">
              <w:rPr>
                <w:rFonts w:asciiTheme="minorHAnsi" w:hAnsiTheme="minorHAnsi"/>
                <w:b/>
                <w:color w:val="C05B08"/>
                <w:spacing w:val="-2"/>
                <w:sz w:val="18"/>
                <w:szCs w:val="18"/>
              </w:rPr>
              <w:t>authentication and access</w:t>
            </w:r>
            <w:r>
              <w:rPr>
                <w:rFonts w:asciiTheme="minorHAnsi" w:hAnsiTheme="minorHAnsi"/>
                <w:b/>
                <w:color w:val="C05B08"/>
                <w:spacing w:val="-2"/>
                <w:sz w:val="18"/>
                <w:szCs w:val="18"/>
              </w:rPr>
              <w:t xml:space="preserve"> </w:t>
            </w:r>
            <w:r w:rsidRPr="00917C5A">
              <w:rPr>
                <w:color w:val="404040" w:themeColor="text1" w:themeTint="BF"/>
                <w:spacing w:val="-2"/>
                <w:sz w:val="20"/>
                <w:szCs w:val="20"/>
              </w:rPr>
              <w:t>are provided as guidance to organizations planning POS s</w:t>
            </w:r>
            <w:r>
              <w:rPr>
                <w:color w:val="404040" w:themeColor="text1" w:themeTint="BF"/>
                <w:spacing w:val="-2"/>
                <w:sz w:val="20"/>
                <w:szCs w:val="20"/>
              </w:rPr>
              <w:t>ystem procurement.</w:t>
            </w:r>
          </w:p>
        </w:tc>
      </w:tr>
    </w:tbl>
    <w:p w14:paraId="1FA58929" w14:textId="77DBAFFA" w:rsidR="00FB1576" w:rsidRDefault="00FB1576" w:rsidP="00FB1576">
      <w:pPr>
        <w:pStyle w:val="Body"/>
        <w:spacing w:before="180" w:after="40"/>
      </w:pPr>
      <w:r>
        <w:t>Topics in this section include:</w:t>
      </w:r>
    </w:p>
    <w:p w14:paraId="41FAFE09" w14:textId="1177F847" w:rsidR="00FB1576" w:rsidRDefault="00305363" w:rsidP="00FB1576">
      <w:pPr>
        <w:pStyle w:val="Body"/>
        <w:numPr>
          <w:ilvl w:val="0"/>
          <w:numId w:val="41"/>
        </w:numPr>
        <w:spacing w:before="40" w:after="40"/>
      </w:pPr>
      <w:r>
        <w:t xml:space="preserve">Federated </w:t>
      </w:r>
      <w:r w:rsidR="00FB1576">
        <w:t xml:space="preserve">Single Sign-On (SSO) / Patient Context Using OAuth: Section </w:t>
      </w:r>
      <w:r w:rsidR="00FB1576">
        <w:fldChar w:fldCharType="begin"/>
      </w:r>
      <w:r w:rsidR="00FB1576">
        <w:instrText xml:space="preserve"> REF _Ref40882874 \r \h </w:instrText>
      </w:r>
      <w:r w:rsidR="00FB1576">
        <w:fldChar w:fldCharType="separate"/>
      </w:r>
      <w:r w:rsidR="00994D49">
        <w:t>6.1</w:t>
      </w:r>
      <w:r w:rsidR="00FB1576">
        <w:fldChar w:fldCharType="end"/>
      </w:r>
      <w:r w:rsidR="00FB1576">
        <w:t>;</w:t>
      </w:r>
    </w:p>
    <w:p w14:paraId="22AEBFC1" w14:textId="36BF8F02" w:rsidR="00FB1576" w:rsidRDefault="00305363" w:rsidP="00FB1576">
      <w:pPr>
        <w:pStyle w:val="Body"/>
        <w:numPr>
          <w:ilvl w:val="0"/>
          <w:numId w:val="41"/>
        </w:numPr>
        <w:spacing w:before="40" w:after="40"/>
      </w:pPr>
      <w:r>
        <w:t xml:space="preserve">Federated </w:t>
      </w:r>
      <w:r w:rsidR="00FB1576">
        <w:t xml:space="preserve">Single Sign-On (SSO) / Patient Context Using SAML: Section </w:t>
      </w:r>
      <w:r w:rsidR="00FB1576">
        <w:fldChar w:fldCharType="begin"/>
      </w:r>
      <w:r w:rsidR="00FB1576">
        <w:instrText xml:space="preserve"> REF _Ref40882881 \r \h </w:instrText>
      </w:r>
      <w:r w:rsidR="00FB1576">
        <w:fldChar w:fldCharType="separate"/>
      </w:r>
      <w:r w:rsidR="00994D49">
        <w:t>6.2</w:t>
      </w:r>
      <w:r w:rsidR="00FB1576">
        <w:fldChar w:fldCharType="end"/>
      </w:r>
      <w:r w:rsidR="00FB1576">
        <w:t>;</w:t>
      </w:r>
    </w:p>
    <w:p w14:paraId="34C578E3" w14:textId="25CDF64E" w:rsidR="00FB1576" w:rsidRDefault="00FB1576" w:rsidP="00FB1576">
      <w:pPr>
        <w:pStyle w:val="Body"/>
        <w:numPr>
          <w:ilvl w:val="0"/>
          <w:numId w:val="41"/>
        </w:numPr>
        <w:spacing w:before="40" w:after="40"/>
      </w:pPr>
      <w:r>
        <w:t xml:space="preserve">Launching Clinical Viewers: Section </w:t>
      </w:r>
      <w:r>
        <w:fldChar w:fldCharType="begin"/>
      </w:r>
      <w:r>
        <w:instrText xml:space="preserve"> REF _Ref40882889 \r \h </w:instrText>
      </w:r>
      <w:r>
        <w:fldChar w:fldCharType="separate"/>
      </w:r>
      <w:r w:rsidR="00994D49">
        <w:t>6.3</w:t>
      </w:r>
      <w:r>
        <w:fldChar w:fldCharType="end"/>
      </w:r>
      <w:r>
        <w:t>.</w:t>
      </w:r>
    </w:p>
    <w:p w14:paraId="6BD4E6BD" w14:textId="6B686988" w:rsidR="00F9702A" w:rsidRPr="0085679B" w:rsidRDefault="00F9702A" w:rsidP="00FB1576">
      <w:pPr>
        <w:pStyle w:val="Body"/>
        <w:spacing w:before="120"/>
      </w:pPr>
      <w:r>
        <w:t xml:space="preserve">Single </w:t>
      </w:r>
      <w:r w:rsidR="00274867">
        <w:t>Sign-O</w:t>
      </w:r>
      <w:r>
        <w:t xml:space="preserve">n </w:t>
      </w:r>
      <w:r w:rsidR="00274867">
        <w:t xml:space="preserve">(SSO) </w:t>
      </w:r>
      <w:r>
        <w:t xml:space="preserve">has been implemented in two ways: SAML based for older systems accessed through the HIAL, and OAuth based for newer systems accessed </w:t>
      </w:r>
      <w:r w:rsidR="00FB1576">
        <w:t>through the ONE Access Gateway.</w:t>
      </w:r>
    </w:p>
    <w:p w14:paraId="0C423C3F" w14:textId="00DB61D1" w:rsidR="00F9702A" w:rsidRDefault="00A77CEA" w:rsidP="003A6672">
      <w:pPr>
        <w:pStyle w:val="Heading2"/>
        <w:spacing w:after="240"/>
      </w:pPr>
      <w:bookmarkStart w:id="65" w:name="_Ref40882874"/>
      <w:bookmarkStart w:id="66" w:name="_Toc54611005"/>
      <w:r>
        <w:t xml:space="preserve">Federated </w:t>
      </w:r>
      <w:r w:rsidR="00F9702A">
        <w:t>Single Sign-On</w:t>
      </w:r>
      <w:r w:rsidR="00274867">
        <w:t xml:space="preserve"> (SSO)</w:t>
      </w:r>
      <w:r w:rsidR="00F9702A">
        <w:t xml:space="preserve"> / Patient Context using OAuth</w:t>
      </w:r>
      <w:bookmarkEnd w:id="65"/>
      <w:bookmarkEnd w:id="66"/>
    </w:p>
    <w:tbl>
      <w:tblPr>
        <w:tblStyle w:val="TableGrid"/>
        <w:tblW w:w="0" w:type="auto"/>
        <w:tblLook w:val="04A0" w:firstRow="1" w:lastRow="0" w:firstColumn="1" w:lastColumn="0" w:noHBand="0" w:noVBand="1"/>
      </w:tblPr>
      <w:tblGrid>
        <w:gridCol w:w="6120"/>
        <w:gridCol w:w="3240"/>
      </w:tblGrid>
      <w:tr w:rsidR="00A866BA" w14:paraId="2E07DE2A" w14:textId="25DA3D9D" w:rsidTr="228950F6">
        <w:tc>
          <w:tcPr>
            <w:tcW w:w="6120" w:type="dxa"/>
            <w:vMerge w:val="restart"/>
            <w:tcBorders>
              <w:top w:val="single" w:sz="4" w:space="0" w:color="auto"/>
              <w:left w:val="nil"/>
              <w:bottom w:val="nil"/>
              <w:right w:val="nil"/>
            </w:tcBorders>
            <w:shd w:val="clear" w:color="auto" w:fill="F8F8F8"/>
            <w:tcMar>
              <w:top w:w="0" w:type="dxa"/>
              <w:left w:w="115" w:type="dxa"/>
              <w:bottom w:w="0" w:type="dxa"/>
              <w:right w:w="115" w:type="dxa"/>
            </w:tcMar>
          </w:tcPr>
          <w:p w14:paraId="39EB1295" w14:textId="77777777" w:rsidR="00A866BA" w:rsidRDefault="00A866BA" w:rsidP="00274867">
            <w:pPr>
              <w:pStyle w:val="TableText"/>
              <w:keepNext/>
              <w:spacing w:before="80"/>
              <w:rPr>
                <w:lang w:val="en-CA" w:eastAsia="en-CA"/>
              </w:rPr>
            </w:pPr>
            <w:r w:rsidRPr="00A866BA">
              <w:rPr>
                <w:b/>
                <w:bCs/>
                <w:sz w:val="20"/>
                <w:szCs w:val="20"/>
                <w:lang w:val="en-CA" w:eastAsia="en-CA"/>
              </w:rPr>
              <w:t>Description</w:t>
            </w:r>
          </w:p>
          <w:p w14:paraId="68378E3B" w14:textId="6D8EC04E" w:rsidR="00A866BA" w:rsidRDefault="00A866BA" w:rsidP="00952F56">
            <w:pPr>
              <w:pStyle w:val="TableText"/>
              <w:spacing w:after="0"/>
              <w:rPr>
                <w:lang w:val="en-CA" w:eastAsia="en-CA"/>
              </w:rPr>
            </w:pPr>
            <w:r w:rsidRPr="005E7BFB">
              <w:rPr>
                <w:lang w:val="en-CA" w:eastAsia="en-CA"/>
              </w:rPr>
              <w:t>The POS solution will support single sign-on (SSO) and patient context sharing between federated health</w:t>
            </w:r>
            <w:r w:rsidR="00DD7035">
              <w:rPr>
                <w:lang w:val="en-CA" w:eastAsia="en-CA"/>
              </w:rPr>
              <w:t xml:space="preserve"> </w:t>
            </w:r>
            <w:r w:rsidRPr="005E7BFB">
              <w:rPr>
                <w:lang w:val="en-CA" w:eastAsia="en-CA"/>
              </w:rPr>
              <w:t xml:space="preserve">care solutions. The SSO solution is based on </w:t>
            </w:r>
            <w:r w:rsidRPr="006B30B1">
              <w:rPr>
                <w:lang w:val="en-CA" w:eastAsia="en-CA"/>
              </w:rPr>
              <w:t>OpenID Connect</w:t>
            </w:r>
            <w:r w:rsidR="00952F56">
              <w:rPr>
                <w:lang w:val="en-CA" w:eastAsia="en-CA"/>
              </w:rPr>
              <w:t>,</w:t>
            </w:r>
            <w:r w:rsidRPr="006B30B1">
              <w:rPr>
                <w:lang w:val="en-CA" w:eastAsia="en-CA"/>
              </w:rPr>
              <w:t xml:space="preserve"> </w:t>
            </w:r>
            <w:r>
              <w:rPr>
                <w:lang w:val="en-CA" w:eastAsia="en-CA"/>
              </w:rPr>
              <w:t xml:space="preserve">which </w:t>
            </w:r>
            <w:r w:rsidR="00952F56">
              <w:rPr>
                <w:lang w:val="en-CA" w:eastAsia="en-CA"/>
              </w:rPr>
              <w:t xml:space="preserve">is </w:t>
            </w:r>
            <w:r>
              <w:rPr>
                <w:lang w:val="en-CA" w:eastAsia="en-CA"/>
              </w:rPr>
              <w:t xml:space="preserve">itself </w:t>
            </w:r>
            <w:r w:rsidRPr="006B30B1">
              <w:rPr>
                <w:lang w:val="en-CA" w:eastAsia="en-CA"/>
              </w:rPr>
              <w:t>a simple identity layer on top of the OAuth 2.0 protocol</w:t>
            </w:r>
            <w:r w:rsidR="00952F56">
              <w:rPr>
                <w:lang w:val="en-CA" w:eastAsia="en-CA"/>
              </w:rPr>
              <w:t>.</w:t>
            </w:r>
          </w:p>
          <w:p w14:paraId="1ED13B3F" w14:textId="2A34A7FF" w:rsidR="004C022F" w:rsidRDefault="004C022F" w:rsidP="00952F56">
            <w:pPr>
              <w:pStyle w:val="TableText"/>
              <w:spacing w:after="0"/>
              <w:rPr>
                <w:lang w:val="en-CA" w:eastAsia="en-CA"/>
              </w:rPr>
            </w:pPr>
            <w:r w:rsidRPr="004C022F">
              <w:rPr>
                <w:lang w:val="en-CA" w:eastAsia="en-CA"/>
              </w:rPr>
              <w:t xml:space="preserve">The Ontario Context Management System (CMS) allows digital health applications, such as Electronic Medical Record (EMR) systems or Clinical Viewers to set and retrieve patient context information from the CMS for an established user session. The architecture and design of the CMS will ensure that it can be extended to other </w:t>
            </w:r>
            <w:r w:rsidR="005E2F2C">
              <w:rPr>
                <w:lang w:val="en-CA" w:eastAsia="en-CA"/>
              </w:rPr>
              <w:t>p</w:t>
            </w:r>
            <w:r w:rsidRPr="004C022F">
              <w:rPr>
                <w:lang w:val="en-CA" w:eastAsia="en-CA"/>
              </w:rPr>
              <w:t xml:space="preserve">oints of </w:t>
            </w:r>
            <w:r w:rsidR="005E2F2C">
              <w:rPr>
                <w:lang w:val="en-CA" w:eastAsia="en-CA"/>
              </w:rPr>
              <w:t>s</w:t>
            </w:r>
            <w:r w:rsidRPr="004C022F">
              <w:rPr>
                <w:lang w:val="en-CA" w:eastAsia="en-CA"/>
              </w:rPr>
              <w:t xml:space="preserve">ervice and </w:t>
            </w:r>
            <w:r w:rsidR="005E2F2C">
              <w:rPr>
                <w:lang w:val="en-CA" w:eastAsia="en-CA"/>
              </w:rPr>
              <w:t>d</w:t>
            </w:r>
            <w:r w:rsidRPr="004C022F">
              <w:rPr>
                <w:lang w:val="en-CA" w:eastAsia="en-CA"/>
              </w:rPr>
              <w:t xml:space="preserve">elivery </w:t>
            </w:r>
            <w:r w:rsidR="005E2F2C">
              <w:rPr>
                <w:lang w:val="en-CA" w:eastAsia="en-CA"/>
              </w:rPr>
              <w:t>c</w:t>
            </w:r>
            <w:r w:rsidRPr="004C022F">
              <w:rPr>
                <w:lang w:val="en-CA" w:eastAsia="en-CA"/>
              </w:rPr>
              <w:t>hannels that are members of the eHealth Ontario Federation.</w:t>
            </w:r>
          </w:p>
          <w:p w14:paraId="0ABA6510" w14:textId="1DC83279" w:rsidR="004C022F" w:rsidRDefault="004C022F" w:rsidP="00952F56">
            <w:pPr>
              <w:pStyle w:val="TableText"/>
              <w:spacing w:after="0"/>
              <w:rPr>
                <w:lang w:val="en-CA" w:eastAsia="en-CA"/>
              </w:rPr>
            </w:pPr>
            <w:r w:rsidRPr="00AD726A">
              <w:rPr>
                <w:lang w:val="en-CA" w:eastAsia="en-CA"/>
              </w:rPr>
              <w:t>This integration can occur through conformance to the following specification</w:t>
            </w:r>
            <w:r>
              <w:rPr>
                <w:lang w:val="en-CA" w:eastAsia="en-CA"/>
              </w:rPr>
              <w:t>s:</w:t>
            </w:r>
          </w:p>
          <w:p w14:paraId="639C6148" w14:textId="5149C6F8" w:rsidR="004C022F" w:rsidRPr="00DD7035" w:rsidRDefault="00D92A6E" w:rsidP="00DD7035">
            <w:pPr>
              <w:pStyle w:val="TableText"/>
              <w:numPr>
                <w:ilvl w:val="0"/>
                <w:numId w:val="48"/>
              </w:numPr>
              <w:spacing w:after="0"/>
              <w:rPr>
                <w:rStyle w:val="Hyperlink"/>
                <w:color w:val="auto"/>
                <w:u w:val="none"/>
                <w:lang w:val="en-CA" w:eastAsia="en-CA"/>
              </w:rPr>
            </w:pPr>
            <w:hyperlink r:id="rId68" w:history="1">
              <w:r w:rsidR="004C022F">
                <w:rPr>
                  <w:rStyle w:val="Hyperlink"/>
                </w:rPr>
                <w:t>ONE ID OpenID Connect Specification</w:t>
              </w:r>
            </w:hyperlink>
            <w:r w:rsidR="006E5435">
              <w:rPr>
                <w:rStyle w:val="Hyperlink"/>
              </w:rPr>
              <w:t>;</w:t>
            </w:r>
          </w:p>
          <w:p w14:paraId="3FEE24D5" w14:textId="0433E9AF" w:rsidR="004C022F" w:rsidRDefault="00D92A6E" w:rsidP="00DD7035">
            <w:pPr>
              <w:pStyle w:val="TableText"/>
              <w:numPr>
                <w:ilvl w:val="0"/>
                <w:numId w:val="48"/>
              </w:numPr>
              <w:spacing w:after="0"/>
              <w:rPr>
                <w:lang w:val="en-CA" w:eastAsia="en-CA"/>
              </w:rPr>
            </w:pPr>
            <w:hyperlink r:id="rId69" w:history="1">
              <w:r w:rsidR="004C022F" w:rsidRPr="004C022F">
                <w:rPr>
                  <w:rStyle w:val="Hyperlink"/>
                  <w:lang w:val="en-CA" w:eastAsia="en-CA"/>
                </w:rPr>
                <w:t>Ontario Context Management System (CMS) - FHIR</w:t>
              </w:r>
            </w:hyperlink>
            <w:r w:rsidR="006E5435">
              <w:rPr>
                <w:lang w:val="en-CA" w:eastAsia="en-CA"/>
              </w:rPr>
              <w:t>.</w:t>
            </w:r>
          </w:p>
        </w:tc>
        <w:tc>
          <w:tcPr>
            <w:tcW w:w="3240" w:type="dxa"/>
            <w:tcBorders>
              <w:left w:val="nil"/>
              <w:bottom w:val="nil"/>
              <w:right w:val="nil"/>
            </w:tcBorders>
            <w:shd w:val="clear" w:color="auto" w:fill="F8F8F8"/>
          </w:tcPr>
          <w:p w14:paraId="407A7D83" w14:textId="77777777" w:rsidR="00A866BA" w:rsidRDefault="00A866BA" w:rsidP="00F9702A">
            <w:pPr>
              <w:pStyle w:val="TableText"/>
              <w:rPr>
                <w:lang w:val="en-CA" w:eastAsia="en-CA"/>
              </w:rPr>
            </w:pPr>
          </w:p>
        </w:tc>
      </w:tr>
      <w:tr w:rsidR="00A866BA" w14:paraId="459AD478" w14:textId="57B93B84" w:rsidTr="228950F6">
        <w:trPr>
          <w:trHeight w:val="634"/>
        </w:trPr>
        <w:tc>
          <w:tcPr>
            <w:tcW w:w="6120" w:type="dxa"/>
            <w:vMerge/>
            <w:tcMar>
              <w:top w:w="58" w:type="dxa"/>
              <w:left w:w="115" w:type="dxa"/>
              <w:bottom w:w="58" w:type="dxa"/>
              <w:right w:w="115" w:type="dxa"/>
            </w:tcMar>
          </w:tcPr>
          <w:p w14:paraId="5AB75092" w14:textId="0E854822" w:rsidR="00A866BA" w:rsidRPr="005E7BFB" w:rsidRDefault="00A866BA" w:rsidP="00A866BA">
            <w:pPr>
              <w:pStyle w:val="TableText"/>
              <w:rPr>
                <w:lang w:val="en-CA" w:eastAsia="en-CA"/>
              </w:rPr>
            </w:pPr>
          </w:p>
        </w:tc>
        <w:tc>
          <w:tcPr>
            <w:tcW w:w="3240" w:type="dxa"/>
            <w:tcBorders>
              <w:top w:val="nil"/>
              <w:left w:val="nil"/>
              <w:bottom w:val="nil"/>
              <w:right w:val="nil"/>
            </w:tcBorders>
            <w:shd w:val="clear" w:color="auto" w:fill="F8F8F8"/>
            <w:tcMar>
              <w:left w:w="115" w:type="dxa"/>
              <w:right w:w="115" w:type="dxa"/>
            </w:tcMar>
          </w:tcPr>
          <w:p w14:paraId="782D2EAF" w14:textId="607F343F" w:rsidR="00A866BA" w:rsidRDefault="00A866BA" w:rsidP="00A866BA">
            <w:pPr>
              <w:pStyle w:val="TableText"/>
              <w:spacing w:before="0" w:after="0"/>
              <w:rPr>
                <w:b/>
                <w:bCs/>
                <w:lang w:val="en-CA" w:eastAsia="en-CA"/>
              </w:rPr>
            </w:pPr>
            <w:r>
              <w:rPr>
                <w:noProof/>
              </w:rPr>
              <w:drawing>
                <wp:inline distT="0" distB="0" distL="0" distR="0" wp14:anchorId="72959FFA" wp14:editId="13F6EEDE">
                  <wp:extent cx="54292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 cstate="screen">
                            <a:extLst>
                              <a:ext uri="{28A0092B-C50C-407E-A947-70E740481C1C}">
                                <a14:useLocalDpi xmlns:a14="http://schemas.microsoft.com/office/drawing/2010/main" val="0"/>
                              </a:ext>
                            </a:extLst>
                          </a:blip>
                          <a:srcRect b="10417"/>
                          <a:stretch/>
                        </pic:blipFill>
                        <pic:spPr bwMode="auto">
                          <a:xfrm>
                            <a:off x="0" y="0"/>
                            <a:ext cx="542925" cy="4095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66BA" w14:paraId="68671162" w14:textId="52C6D1CD" w:rsidTr="228950F6">
        <w:tc>
          <w:tcPr>
            <w:tcW w:w="9360" w:type="dxa"/>
            <w:gridSpan w:val="2"/>
            <w:tcBorders>
              <w:left w:val="nil"/>
              <w:right w:val="nil"/>
            </w:tcBorders>
            <w:tcMar>
              <w:top w:w="58" w:type="dxa"/>
              <w:left w:w="115" w:type="dxa"/>
              <w:bottom w:w="58" w:type="dxa"/>
              <w:right w:w="115" w:type="dxa"/>
            </w:tcMar>
          </w:tcPr>
          <w:p w14:paraId="43B5FDA5" w14:textId="51A5DF11" w:rsidR="00A866BA" w:rsidRPr="00A866BA" w:rsidRDefault="00B051A5" w:rsidP="00F9702A">
            <w:pPr>
              <w:pStyle w:val="TableText"/>
              <w:rPr>
                <w:b/>
                <w:sz w:val="20"/>
                <w:szCs w:val="20"/>
                <w:lang w:val="en-CA" w:eastAsia="en-CA"/>
              </w:rPr>
            </w:pPr>
            <w:r>
              <w:rPr>
                <w:b/>
                <w:sz w:val="20"/>
                <w:szCs w:val="20"/>
                <w:lang w:val="en-CA" w:eastAsia="en-CA"/>
              </w:rPr>
              <w:t xml:space="preserve">Expected Response </w:t>
            </w:r>
            <w:r w:rsidR="006E5435">
              <w:rPr>
                <w:b/>
                <w:sz w:val="20"/>
                <w:szCs w:val="20"/>
                <w:lang w:val="en-CA" w:eastAsia="en-CA"/>
              </w:rPr>
              <w:t>f</w:t>
            </w:r>
            <w:r w:rsidR="00A866BA" w:rsidRPr="00A866BA">
              <w:rPr>
                <w:b/>
                <w:sz w:val="20"/>
                <w:szCs w:val="20"/>
                <w:lang w:val="en-CA" w:eastAsia="en-CA"/>
              </w:rPr>
              <w:t>rom Vendor</w:t>
            </w:r>
          </w:p>
          <w:p w14:paraId="306B883B" w14:textId="1369784A" w:rsidR="00A866BA" w:rsidRPr="005E7BFB" w:rsidRDefault="00A866BA" w:rsidP="00F70C6B">
            <w:pPr>
              <w:pStyle w:val="TableText"/>
              <w:rPr>
                <w:lang w:val="en-CA" w:eastAsia="en-CA"/>
              </w:rPr>
            </w:pPr>
            <w:r w:rsidRPr="005E7BFB">
              <w:rPr>
                <w:lang w:val="en-CA" w:eastAsia="en-CA"/>
              </w:rPr>
              <w:t xml:space="preserve">Preference will be given to responses that demonstrate previous experience participating in SSO with other systems, leveraging external identity providers and/or exchanging patient context, as well as </w:t>
            </w:r>
            <w:r>
              <w:rPr>
                <w:lang w:val="en-CA" w:eastAsia="en-CA"/>
              </w:rPr>
              <w:t>the implementation of the above-</w:t>
            </w:r>
            <w:r w:rsidRPr="005E7BFB">
              <w:rPr>
                <w:lang w:val="en-CA" w:eastAsia="en-CA"/>
              </w:rPr>
              <w:t>listed specifications.</w:t>
            </w:r>
          </w:p>
        </w:tc>
      </w:tr>
      <w:tr w:rsidR="00A866BA" w14:paraId="2B21EB01" w14:textId="7B26804A" w:rsidTr="228950F6">
        <w:tc>
          <w:tcPr>
            <w:tcW w:w="9360" w:type="dxa"/>
            <w:gridSpan w:val="2"/>
            <w:tcBorders>
              <w:left w:val="nil"/>
              <w:right w:val="nil"/>
            </w:tcBorders>
            <w:shd w:val="clear" w:color="auto" w:fill="F8F8F8"/>
            <w:tcMar>
              <w:top w:w="58" w:type="dxa"/>
              <w:left w:w="115" w:type="dxa"/>
              <w:bottom w:w="58" w:type="dxa"/>
              <w:right w:w="115" w:type="dxa"/>
            </w:tcMar>
          </w:tcPr>
          <w:p w14:paraId="446B60E2" w14:textId="10BEAC1E" w:rsidR="00A866BA" w:rsidRPr="00A866BA" w:rsidRDefault="00A866BA" w:rsidP="00F9702A">
            <w:pPr>
              <w:pStyle w:val="TableText"/>
              <w:rPr>
                <w:b/>
                <w:sz w:val="20"/>
                <w:szCs w:val="20"/>
                <w:lang w:val="en-CA" w:eastAsia="en-CA"/>
              </w:rPr>
            </w:pPr>
            <w:r w:rsidRPr="00A866BA">
              <w:rPr>
                <w:b/>
                <w:sz w:val="20"/>
                <w:szCs w:val="20"/>
                <w:lang w:val="en-CA" w:eastAsia="en-CA"/>
              </w:rPr>
              <w:t>Rationale</w:t>
            </w:r>
          </w:p>
          <w:p w14:paraId="6670A67A" w14:textId="37F724BB" w:rsidR="00A866BA" w:rsidRPr="005E7BFB" w:rsidRDefault="00A866BA" w:rsidP="00F9702A">
            <w:pPr>
              <w:pStyle w:val="TableText"/>
              <w:rPr>
                <w:lang w:val="en-CA" w:eastAsia="en-CA"/>
              </w:rPr>
            </w:pPr>
            <w:r w:rsidRPr="005E7BFB">
              <w:rPr>
                <w:lang w:val="en-CA" w:eastAsia="en-CA"/>
              </w:rPr>
              <w:t>Single sign-on (SSO) is the process where a user logs on once to their POS system and is able to access a range of EHR applications through multiple channels without having to log</w:t>
            </w:r>
            <w:r w:rsidR="00F70C6B">
              <w:rPr>
                <w:lang w:val="en-CA" w:eastAsia="en-CA"/>
              </w:rPr>
              <w:t xml:space="preserve"> </w:t>
            </w:r>
            <w:r w:rsidRPr="005E7BFB">
              <w:rPr>
                <w:lang w:val="en-CA" w:eastAsia="en-CA"/>
              </w:rPr>
              <w:t xml:space="preserve">on again during that session (e.g. a user with </w:t>
            </w:r>
            <w:r w:rsidR="00B459DD">
              <w:rPr>
                <w:lang w:val="en-CA" w:eastAsia="en-CA"/>
              </w:rPr>
              <w:t xml:space="preserve">an </w:t>
            </w:r>
            <w:r w:rsidRPr="005E7BFB">
              <w:rPr>
                <w:lang w:val="en-CA" w:eastAsia="en-CA"/>
              </w:rPr>
              <w:t xml:space="preserve">account issued by a hospital can access </w:t>
            </w:r>
            <w:r w:rsidR="002A1AE9">
              <w:rPr>
                <w:lang w:val="en-CA" w:eastAsia="en-CA"/>
              </w:rPr>
              <w:t>Ontario Health</w:t>
            </w:r>
            <w:r w:rsidR="00256B69">
              <w:rPr>
                <w:lang w:val="en-CA" w:eastAsia="en-CA"/>
              </w:rPr>
              <w:t>’s</w:t>
            </w:r>
            <w:r w:rsidR="007C6D95">
              <w:rPr>
                <w:lang w:val="en-CA" w:eastAsia="en-CA"/>
              </w:rPr>
              <w:t xml:space="preserve"> </w:t>
            </w:r>
            <w:r w:rsidRPr="005E7BFB">
              <w:rPr>
                <w:lang w:val="en-CA" w:eastAsia="en-CA"/>
              </w:rPr>
              <w:t>clinical viewers, as</w:t>
            </w:r>
            <w:r>
              <w:rPr>
                <w:lang w:val="en-CA" w:eastAsia="en-CA"/>
              </w:rPr>
              <w:t xml:space="preserve"> well as </w:t>
            </w:r>
            <w:r w:rsidR="00834FB1">
              <w:rPr>
                <w:lang w:val="en-CA" w:eastAsia="en-CA"/>
              </w:rPr>
              <w:t xml:space="preserve">Ontario Health’s </w:t>
            </w:r>
            <w:r>
              <w:rPr>
                <w:lang w:val="en-CA" w:eastAsia="en-CA"/>
              </w:rPr>
              <w:t>C</w:t>
            </w:r>
            <w:r w:rsidR="00834FB1">
              <w:rPr>
                <w:lang w:val="en-CA" w:eastAsia="en-CA"/>
              </w:rPr>
              <w:t xml:space="preserve">ancer </w:t>
            </w:r>
            <w:r>
              <w:rPr>
                <w:lang w:val="en-CA" w:eastAsia="en-CA"/>
              </w:rPr>
              <w:t>C</w:t>
            </w:r>
            <w:r w:rsidR="00834FB1">
              <w:rPr>
                <w:lang w:val="en-CA" w:eastAsia="en-CA"/>
              </w:rPr>
              <w:t xml:space="preserve">are </w:t>
            </w:r>
            <w:r>
              <w:rPr>
                <w:lang w:val="en-CA" w:eastAsia="en-CA"/>
              </w:rPr>
              <w:t>O</w:t>
            </w:r>
            <w:r w:rsidR="00834FB1">
              <w:rPr>
                <w:lang w:val="en-CA" w:eastAsia="en-CA"/>
              </w:rPr>
              <w:t>ntario</w:t>
            </w:r>
            <w:r>
              <w:rPr>
                <w:lang w:val="en-CA" w:eastAsia="en-CA"/>
              </w:rPr>
              <w:t xml:space="preserve"> and O</w:t>
            </w:r>
            <w:r w:rsidR="00834FB1">
              <w:rPr>
                <w:lang w:val="en-CA" w:eastAsia="en-CA"/>
              </w:rPr>
              <w:t xml:space="preserve">ntario </w:t>
            </w:r>
            <w:r>
              <w:rPr>
                <w:lang w:val="en-CA" w:eastAsia="en-CA"/>
              </w:rPr>
              <w:t>T</w:t>
            </w:r>
            <w:r w:rsidR="00834FB1">
              <w:rPr>
                <w:lang w:val="en-CA" w:eastAsia="en-CA"/>
              </w:rPr>
              <w:t xml:space="preserve">elemedicine </w:t>
            </w:r>
            <w:r>
              <w:rPr>
                <w:lang w:val="en-CA" w:eastAsia="en-CA"/>
              </w:rPr>
              <w:t>N</w:t>
            </w:r>
            <w:r w:rsidR="00834FB1">
              <w:rPr>
                <w:lang w:val="en-CA" w:eastAsia="en-CA"/>
              </w:rPr>
              <w:t>etwork</w:t>
            </w:r>
            <w:r>
              <w:rPr>
                <w:lang w:val="en-CA" w:eastAsia="en-CA"/>
              </w:rPr>
              <w:t xml:space="preserve"> portals).</w:t>
            </w:r>
          </w:p>
          <w:p w14:paraId="0AAF7123" w14:textId="0E0BBBEA" w:rsidR="00A866BA" w:rsidRPr="005E7BFB" w:rsidRDefault="00A866BA" w:rsidP="00F9702A">
            <w:pPr>
              <w:pStyle w:val="TableText"/>
              <w:rPr>
                <w:lang w:val="en-CA" w:eastAsia="en-CA"/>
              </w:rPr>
            </w:pPr>
            <w:r w:rsidRPr="005E7BFB">
              <w:rPr>
                <w:lang w:val="en-CA" w:eastAsia="en-CA"/>
              </w:rPr>
              <w:t>Benefits for health</w:t>
            </w:r>
            <w:r w:rsidR="00CC2484">
              <w:rPr>
                <w:lang w:val="en-CA" w:eastAsia="en-CA"/>
              </w:rPr>
              <w:t xml:space="preserve"> </w:t>
            </w:r>
            <w:r w:rsidRPr="005E7BFB">
              <w:rPr>
                <w:lang w:val="en-CA" w:eastAsia="en-CA"/>
              </w:rPr>
              <w:t>care providers:</w:t>
            </w:r>
          </w:p>
          <w:p w14:paraId="079404E4" w14:textId="77777777" w:rsidR="00A866BA" w:rsidRPr="005E7BFB" w:rsidRDefault="00A866BA" w:rsidP="00274867">
            <w:pPr>
              <w:pStyle w:val="TableText"/>
              <w:numPr>
                <w:ilvl w:val="0"/>
                <w:numId w:val="30"/>
              </w:numPr>
              <w:ind w:left="545" w:hanging="185"/>
              <w:rPr>
                <w:lang w:val="en-CA" w:eastAsia="en-CA"/>
              </w:rPr>
            </w:pPr>
            <w:r w:rsidRPr="005E7BFB">
              <w:rPr>
                <w:lang w:val="en-CA" w:eastAsia="en-CA"/>
              </w:rPr>
              <w:t>Users do not need to have, and remember, multiple user IDs and passwords</w:t>
            </w:r>
            <w:r>
              <w:rPr>
                <w:lang w:val="en-CA" w:eastAsia="en-CA"/>
              </w:rPr>
              <w:t>;</w:t>
            </w:r>
          </w:p>
          <w:p w14:paraId="548C42A5" w14:textId="77777777" w:rsidR="00A866BA" w:rsidRPr="005E7BFB" w:rsidRDefault="00A866BA" w:rsidP="00274867">
            <w:pPr>
              <w:pStyle w:val="TableText"/>
              <w:numPr>
                <w:ilvl w:val="0"/>
                <w:numId w:val="30"/>
              </w:numPr>
              <w:ind w:left="545" w:hanging="185"/>
              <w:rPr>
                <w:lang w:val="en-CA" w:eastAsia="en-CA"/>
              </w:rPr>
            </w:pPr>
            <w:r w:rsidRPr="005E7BFB">
              <w:rPr>
                <w:lang w:val="en-CA" w:eastAsia="en-CA"/>
              </w:rPr>
              <w:t>Simplified and improved access to patient information and therefore improved patient outcomes</w:t>
            </w:r>
            <w:r>
              <w:rPr>
                <w:lang w:val="en-CA" w:eastAsia="en-CA"/>
              </w:rPr>
              <w:t>;</w:t>
            </w:r>
          </w:p>
          <w:p w14:paraId="23E5870A" w14:textId="49021C5A" w:rsidR="00A866BA" w:rsidRPr="005E7BFB" w:rsidRDefault="1BF2E303" w:rsidP="00274867">
            <w:pPr>
              <w:pStyle w:val="TableText"/>
              <w:numPr>
                <w:ilvl w:val="0"/>
                <w:numId w:val="30"/>
              </w:numPr>
              <w:ind w:left="545" w:hanging="185"/>
              <w:rPr>
                <w:lang w:val="en-CA" w:eastAsia="en-CA"/>
              </w:rPr>
            </w:pPr>
            <w:r w:rsidRPr="6F4A81CD">
              <w:rPr>
                <w:lang w:val="en-CA" w:eastAsia="en-CA"/>
              </w:rPr>
              <w:t xml:space="preserve">Barriers to the </w:t>
            </w:r>
            <w:r w:rsidR="21866D96" w:rsidRPr="6F4A81CD">
              <w:rPr>
                <w:lang w:val="en-CA" w:eastAsia="en-CA"/>
              </w:rPr>
              <w:t>n</w:t>
            </w:r>
            <w:r w:rsidR="00A866BA" w:rsidRPr="6F4A81CD">
              <w:rPr>
                <w:lang w:val="en-CA" w:eastAsia="en-CA"/>
              </w:rPr>
              <w:t>umber of health</w:t>
            </w:r>
            <w:r w:rsidR="00C654B1">
              <w:rPr>
                <w:lang w:val="en-CA" w:eastAsia="en-CA"/>
              </w:rPr>
              <w:t xml:space="preserve"> </w:t>
            </w:r>
            <w:r w:rsidR="00A866BA" w:rsidRPr="6F4A81CD">
              <w:rPr>
                <w:lang w:val="en-CA" w:eastAsia="en-CA"/>
              </w:rPr>
              <w:t>care providers (HCPs) who can access health</w:t>
            </w:r>
            <w:r w:rsidR="000D5FFA">
              <w:rPr>
                <w:lang w:val="en-CA" w:eastAsia="en-CA"/>
              </w:rPr>
              <w:t xml:space="preserve"> </w:t>
            </w:r>
            <w:r w:rsidR="00A866BA" w:rsidRPr="6F4A81CD">
              <w:rPr>
                <w:lang w:val="en-CA" w:eastAsia="en-CA"/>
              </w:rPr>
              <w:t xml:space="preserve">care applications </w:t>
            </w:r>
            <w:r w:rsidR="61699361" w:rsidRPr="6F4A81CD">
              <w:rPr>
                <w:lang w:val="en-CA" w:eastAsia="en-CA"/>
              </w:rPr>
              <w:t>can be reduced</w:t>
            </w:r>
            <w:r w:rsidR="00A866BA" w:rsidRPr="6F4A81CD">
              <w:rPr>
                <w:lang w:val="en-CA" w:eastAsia="en-CA"/>
              </w:rPr>
              <w:t>.</w:t>
            </w:r>
          </w:p>
          <w:p w14:paraId="377A4EF8" w14:textId="77777777" w:rsidR="00A866BA" w:rsidRPr="005E7BFB" w:rsidRDefault="00A866BA" w:rsidP="00F9702A">
            <w:pPr>
              <w:pStyle w:val="TableText"/>
              <w:spacing w:before="80"/>
              <w:rPr>
                <w:lang w:val="en-CA" w:eastAsia="en-CA"/>
              </w:rPr>
            </w:pPr>
            <w:r w:rsidRPr="005E7BFB">
              <w:rPr>
                <w:lang w:val="en-CA" w:eastAsia="en-CA"/>
              </w:rPr>
              <w:t>Benefits for health service providers:</w:t>
            </w:r>
          </w:p>
          <w:p w14:paraId="6A344CBE" w14:textId="71067FE9" w:rsidR="00A866BA" w:rsidRPr="005E7BFB" w:rsidRDefault="00A866BA" w:rsidP="00274867">
            <w:pPr>
              <w:pStyle w:val="TableText"/>
              <w:numPr>
                <w:ilvl w:val="0"/>
                <w:numId w:val="30"/>
              </w:numPr>
              <w:ind w:left="545" w:hanging="185"/>
              <w:rPr>
                <w:lang w:val="en-CA" w:eastAsia="en-CA"/>
              </w:rPr>
            </w:pPr>
            <w:r w:rsidRPr="005E7BFB">
              <w:rPr>
                <w:lang w:val="en-CA" w:eastAsia="en-CA"/>
              </w:rPr>
              <w:t>Supports sharing of hosp</w:t>
            </w:r>
            <w:r w:rsidR="00F70C6B">
              <w:rPr>
                <w:lang w:val="en-CA" w:eastAsia="en-CA"/>
              </w:rPr>
              <w:t>ital and LHIN-based health</w:t>
            </w:r>
            <w:r w:rsidR="000D5FFA">
              <w:rPr>
                <w:lang w:val="en-CA" w:eastAsia="en-CA"/>
              </w:rPr>
              <w:t xml:space="preserve"> </w:t>
            </w:r>
            <w:r w:rsidRPr="005E7BFB">
              <w:rPr>
                <w:lang w:val="en-CA" w:eastAsia="en-CA"/>
              </w:rPr>
              <w:t>care application solutions</w:t>
            </w:r>
            <w:r>
              <w:rPr>
                <w:lang w:val="en-CA" w:eastAsia="en-CA"/>
              </w:rPr>
              <w:t>;</w:t>
            </w:r>
          </w:p>
          <w:p w14:paraId="73710E41" w14:textId="2AB10325" w:rsidR="00A866BA" w:rsidRPr="005E7BFB" w:rsidRDefault="000D5FFA" w:rsidP="00274867">
            <w:pPr>
              <w:pStyle w:val="TableText"/>
              <w:numPr>
                <w:ilvl w:val="0"/>
                <w:numId w:val="30"/>
              </w:numPr>
              <w:ind w:left="545" w:hanging="185"/>
              <w:rPr>
                <w:lang w:val="en-CA" w:eastAsia="en-CA"/>
              </w:rPr>
            </w:pPr>
            <w:r>
              <w:rPr>
                <w:lang w:val="en-CA" w:eastAsia="en-CA"/>
              </w:rPr>
              <w:t>Enables</w:t>
            </w:r>
            <w:r w:rsidRPr="005E7BFB">
              <w:rPr>
                <w:lang w:val="en-CA" w:eastAsia="en-CA"/>
              </w:rPr>
              <w:t xml:space="preserve"> </w:t>
            </w:r>
            <w:r w:rsidR="00A866BA" w:rsidRPr="005E7BFB">
              <w:rPr>
                <w:lang w:val="en-CA" w:eastAsia="en-CA"/>
              </w:rPr>
              <w:t>organizations to leverage existing assets to improve total cost of ownership (TCO) and maximize return on investment (ROI)</w:t>
            </w:r>
            <w:r w:rsidR="00A866BA">
              <w:rPr>
                <w:lang w:val="en-CA" w:eastAsia="en-CA"/>
              </w:rPr>
              <w:t>;</w:t>
            </w:r>
          </w:p>
          <w:p w14:paraId="533CCFC5" w14:textId="717CA841" w:rsidR="00A866BA" w:rsidRPr="005E7BFB" w:rsidRDefault="00A866BA" w:rsidP="00274867">
            <w:pPr>
              <w:pStyle w:val="TableText"/>
              <w:numPr>
                <w:ilvl w:val="0"/>
                <w:numId w:val="30"/>
              </w:numPr>
              <w:ind w:left="545" w:hanging="185"/>
              <w:rPr>
                <w:lang w:val="en-CA" w:eastAsia="en-CA"/>
              </w:rPr>
            </w:pPr>
            <w:r w:rsidRPr="005E7BFB">
              <w:rPr>
                <w:lang w:val="en-CA" w:eastAsia="en-CA"/>
              </w:rPr>
              <w:t xml:space="preserve">Simplifies </w:t>
            </w:r>
            <w:r w:rsidR="00F70C6B">
              <w:rPr>
                <w:lang w:val="en-CA" w:eastAsia="en-CA"/>
              </w:rPr>
              <w:t>administration</w:t>
            </w:r>
            <w:r w:rsidRPr="005E7BFB">
              <w:rPr>
                <w:lang w:val="en-CA" w:eastAsia="en-CA"/>
              </w:rPr>
              <w:t>, business agreements and technical interaction between health</w:t>
            </w:r>
            <w:r w:rsidR="00FE2739">
              <w:rPr>
                <w:lang w:val="en-CA" w:eastAsia="en-CA"/>
              </w:rPr>
              <w:t xml:space="preserve"> </w:t>
            </w:r>
            <w:r w:rsidRPr="005E7BFB">
              <w:rPr>
                <w:lang w:val="en-CA" w:eastAsia="en-CA"/>
              </w:rPr>
              <w:t>care organizations</w:t>
            </w:r>
            <w:r>
              <w:rPr>
                <w:lang w:val="en-CA" w:eastAsia="en-CA"/>
              </w:rPr>
              <w:t>;</w:t>
            </w:r>
          </w:p>
          <w:p w14:paraId="5EFB91A8" w14:textId="77777777" w:rsidR="00A866BA" w:rsidRPr="005E7BFB" w:rsidRDefault="00A866BA" w:rsidP="00274867">
            <w:pPr>
              <w:pStyle w:val="TableText"/>
              <w:numPr>
                <w:ilvl w:val="0"/>
                <w:numId w:val="30"/>
              </w:numPr>
              <w:ind w:left="545" w:hanging="185"/>
              <w:rPr>
                <w:lang w:val="en-CA" w:eastAsia="en-CA"/>
              </w:rPr>
            </w:pPr>
            <w:r w:rsidRPr="005E7BFB">
              <w:rPr>
                <w:lang w:val="en-CA" w:eastAsia="en-CA"/>
              </w:rPr>
              <w:t>Standardizes identity validation and authentication across the province</w:t>
            </w:r>
            <w:r>
              <w:rPr>
                <w:lang w:val="en-CA" w:eastAsia="en-CA"/>
              </w:rPr>
              <w:t>.</w:t>
            </w:r>
          </w:p>
          <w:p w14:paraId="0F148BED" w14:textId="0B913A7F" w:rsidR="00A866BA" w:rsidRPr="005E7BFB" w:rsidRDefault="00A866BA" w:rsidP="00F70C6B">
            <w:pPr>
              <w:pStyle w:val="TableText"/>
              <w:spacing w:before="80"/>
              <w:rPr>
                <w:lang w:val="en-CA" w:eastAsia="en-CA"/>
              </w:rPr>
            </w:pPr>
            <w:r w:rsidRPr="005E7BFB">
              <w:rPr>
                <w:lang w:val="en-CA" w:eastAsia="en-CA"/>
              </w:rPr>
              <w:t xml:space="preserve">With SSO initiated from a POS system, providers are able to obtain relatively seamless access to </w:t>
            </w:r>
            <w:r w:rsidR="00F70C6B">
              <w:rPr>
                <w:lang w:val="en-CA" w:eastAsia="en-CA"/>
              </w:rPr>
              <w:t>additional</w:t>
            </w:r>
            <w:r w:rsidR="00F70C6B" w:rsidRPr="005E7BFB">
              <w:rPr>
                <w:lang w:val="en-CA" w:eastAsia="en-CA"/>
              </w:rPr>
              <w:t xml:space="preserve"> </w:t>
            </w:r>
            <w:r w:rsidRPr="005E7BFB">
              <w:rPr>
                <w:lang w:val="en-CA" w:eastAsia="en-CA"/>
              </w:rPr>
              <w:t>comprehensive, up-to</w:t>
            </w:r>
            <w:r>
              <w:rPr>
                <w:lang w:val="en-CA" w:eastAsia="en-CA"/>
              </w:rPr>
              <w:t>-date and relevant patient data.</w:t>
            </w:r>
          </w:p>
        </w:tc>
      </w:tr>
    </w:tbl>
    <w:p w14:paraId="1741FE58" w14:textId="172764BD" w:rsidR="00F9702A" w:rsidRDefault="00D1078C" w:rsidP="003A6672">
      <w:pPr>
        <w:pStyle w:val="Heading2"/>
        <w:spacing w:after="240"/>
      </w:pPr>
      <w:bookmarkStart w:id="67" w:name="_Ref40882881"/>
      <w:bookmarkStart w:id="68" w:name="_Toc54611006"/>
      <w:r>
        <w:t xml:space="preserve">Federated </w:t>
      </w:r>
      <w:r w:rsidR="00F9702A">
        <w:t>Single Sign-On (SSO) / Patient Context using SAML</w:t>
      </w:r>
      <w:bookmarkEnd w:id="67"/>
      <w:bookmarkEnd w:id="68"/>
    </w:p>
    <w:tbl>
      <w:tblPr>
        <w:tblStyle w:val="TableGrid"/>
        <w:tblW w:w="9360" w:type="dxa"/>
        <w:tblLook w:val="04A0" w:firstRow="1" w:lastRow="0" w:firstColumn="1" w:lastColumn="0" w:noHBand="0" w:noVBand="1"/>
      </w:tblPr>
      <w:tblGrid>
        <w:gridCol w:w="6120"/>
        <w:gridCol w:w="3240"/>
      </w:tblGrid>
      <w:tr w:rsidR="00A7292D" w14:paraId="383EE456" w14:textId="03182FF5" w:rsidTr="228950F6">
        <w:tc>
          <w:tcPr>
            <w:tcW w:w="6120" w:type="dxa"/>
            <w:vMerge w:val="restart"/>
            <w:tcBorders>
              <w:top w:val="single" w:sz="4" w:space="0" w:color="auto"/>
              <w:left w:val="nil"/>
              <w:bottom w:val="nil"/>
              <w:right w:val="nil"/>
            </w:tcBorders>
            <w:shd w:val="clear" w:color="auto" w:fill="F8F8F8"/>
            <w:tcMar>
              <w:top w:w="0" w:type="dxa"/>
              <w:left w:w="115" w:type="dxa"/>
              <w:bottom w:w="0" w:type="dxa"/>
              <w:right w:w="115" w:type="dxa"/>
            </w:tcMar>
            <w:vAlign w:val="center"/>
          </w:tcPr>
          <w:p w14:paraId="79DD87AF" w14:textId="65E495FB" w:rsidR="00A7292D" w:rsidRPr="00A7292D" w:rsidRDefault="00A7292D" w:rsidP="00F70C6B">
            <w:pPr>
              <w:pStyle w:val="TableText"/>
              <w:keepNext/>
              <w:spacing w:before="0"/>
              <w:rPr>
                <w:b/>
                <w:bCs/>
                <w:sz w:val="20"/>
                <w:szCs w:val="20"/>
                <w:lang w:val="en-CA" w:eastAsia="en-CA"/>
              </w:rPr>
            </w:pPr>
            <w:r w:rsidRPr="00A7292D">
              <w:rPr>
                <w:b/>
                <w:bCs/>
                <w:sz w:val="20"/>
                <w:szCs w:val="20"/>
                <w:lang w:val="en-CA" w:eastAsia="en-CA"/>
              </w:rPr>
              <w:t>Description</w:t>
            </w:r>
          </w:p>
          <w:p w14:paraId="12CC0740" w14:textId="21CEAC1B" w:rsidR="00A7292D" w:rsidRPr="005E7BFB" w:rsidRDefault="00A7292D" w:rsidP="00F70C6B">
            <w:pPr>
              <w:pStyle w:val="TableText"/>
              <w:keepNext/>
              <w:spacing w:after="0"/>
              <w:rPr>
                <w:lang w:val="en-CA" w:eastAsia="en-CA"/>
              </w:rPr>
            </w:pPr>
            <w:r w:rsidRPr="005E7BFB">
              <w:rPr>
                <w:lang w:val="en-CA" w:eastAsia="en-CA"/>
              </w:rPr>
              <w:t>The POS solution will support SSO and patient context sharing between federated health</w:t>
            </w:r>
            <w:r w:rsidR="00905DCF">
              <w:rPr>
                <w:lang w:val="en-CA" w:eastAsia="en-CA"/>
              </w:rPr>
              <w:t xml:space="preserve"> </w:t>
            </w:r>
            <w:r w:rsidRPr="005E7BFB">
              <w:rPr>
                <w:lang w:val="en-CA" w:eastAsia="en-CA"/>
              </w:rPr>
              <w:t>care solutions. The SSO solution is bas</w:t>
            </w:r>
            <w:r w:rsidR="00410D4F">
              <w:rPr>
                <w:lang w:val="en-CA" w:eastAsia="en-CA"/>
              </w:rPr>
              <w:t>ed on OASIS SAML Specification V</w:t>
            </w:r>
            <w:r w:rsidRPr="005E7BFB">
              <w:rPr>
                <w:lang w:val="en-CA" w:eastAsia="en-CA"/>
              </w:rPr>
              <w:t>ersion 2.</w:t>
            </w:r>
          </w:p>
        </w:tc>
        <w:tc>
          <w:tcPr>
            <w:tcW w:w="3240" w:type="dxa"/>
            <w:tcBorders>
              <w:left w:val="nil"/>
              <w:bottom w:val="nil"/>
              <w:right w:val="nil"/>
            </w:tcBorders>
            <w:shd w:val="clear" w:color="auto" w:fill="F8F8F8"/>
          </w:tcPr>
          <w:p w14:paraId="51F47670" w14:textId="20E8EE85" w:rsidR="00A7292D" w:rsidRDefault="00A7292D" w:rsidP="00A7292D">
            <w:pPr>
              <w:pStyle w:val="TableText"/>
              <w:keepNext/>
              <w:rPr>
                <w:lang w:val="en-CA" w:eastAsia="en-CA"/>
              </w:rPr>
            </w:pPr>
          </w:p>
        </w:tc>
      </w:tr>
      <w:tr w:rsidR="00A7292D" w14:paraId="7F48EF8F" w14:textId="23E35FC9" w:rsidTr="228950F6">
        <w:trPr>
          <w:trHeight w:val="616"/>
        </w:trPr>
        <w:tc>
          <w:tcPr>
            <w:tcW w:w="6120" w:type="dxa"/>
            <w:vMerge/>
            <w:tcMar>
              <w:top w:w="58" w:type="dxa"/>
              <w:left w:w="115" w:type="dxa"/>
              <w:bottom w:w="58" w:type="dxa"/>
              <w:right w:w="115" w:type="dxa"/>
            </w:tcMar>
          </w:tcPr>
          <w:p w14:paraId="59111469" w14:textId="317E5626" w:rsidR="00A7292D" w:rsidRDefault="00A7292D" w:rsidP="00274867">
            <w:pPr>
              <w:pStyle w:val="TableText"/>
              <w:keepNext/>
              <w:numPr>
                <w:ilvl w:val="0"/>
                <w:numId w:val="34"/>
              </w:numPr>
              <w:rPr>
                <w:lang w:val="en-CA" w:eastAsia="en-CA"/>
              </w:rPr>
            </w:pPr>
          </w:p>
        </w:tc>
        <w:tc>
          <w:tcPr>
            <w:tcW w:w="3240" w:type="dxa"/>
            <w:tcBorders>
              <w:top w:val="nil"/>
              <w:left w:val="nil"/>
              <w:bottom w:val="nil"/>
              <w:right w:val="nil"/>
            </w:tcBorders>
            <w:shd w:val="clear" w:color="auto" w:fill="F8F8F8"/>
            <w:tcMar>
              <w:left w:w="115" w:type="dxa"/>
              <w:right w:w="115" w:type="dxa"/>
            </w:tcMar>
          </w:tcPr>
          <w:p w14:paraId="64DE5DCF" w14:textId="7A73504B" w:rsidR="00A7292D" w:rsidRPr="005E7BFB" w:rsidRDefault="00A7292D" w:rsidP="00274867">
            <w:pPr>
              <w:pStyle w:val="TableText"/>
              <w:keepNext/>
              <w:spacing w:after="0"/>
              <w:rPr>
                <w:lang w:val="en-CA" w:eastAsia="en-CA"/>
              </w:rPr>
            </w:pPr>
            <w:r>
              <w:rPr>
                <w:noProof/>
              </w:rPr>
              <w:drawing>
                <wp:inline distT="0" distB="0" distL="0" distR="0" wp14:anchorId="74D301D3" wp14:editId="36BFA56F">
                  <wp:extent cx="542925" cy="41659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0" cstate="screen">
                            <a:extLst>
                              <a:ext uri="{28A0092B-C50C-407E-A947-70E740481C1C}">
                                <a14:useLocalDpi xmlns:a14="http://schemas.microsoft.com/office/drawing/2010/main" val="0"/>
                              </a:ext>
                            </a:extLst>
                          </a:blip>
                          <a:srcRect t="1" b="8880"/>
                          <a:stretch/>
                        </pic:blipFill>
                        <pic:spPr bwMode="auto">
                          <a:xfrm>
                            <a:off x="0" y="0"/>
                            <a:ext cx="542925" cy="4165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4867" w14:paraId="19EBC764" w14:textId="77777777" w:rsidTr="228950F6">
        <w:tc>
          <w:tcPr>
            <w:tcW w:w="9360" w:type="dxa"/>
            <w:gridSpan w:val="2"/>
            <w:tcBorders>
              <w:top w:val="nil"/>
              <w:left w:val="nil"/>
              <w:right w:val="nil"/>
            </w:tcBorders>
            <w:shd w:val="clear" w:color="auto" w:fill="F8F8F8"/>
            <w:tcMar>
              <w:top w:w="0" w:type="dxa"/>
              <w:left w:w="115" w:type="dxa"/>
              <w:bottom w:w="58" w:type="dxa"/>
              <w:right w:w="115" w:type="dxa"/>
            </w:tcMar>
          </w:tcPr>
          <w:p w14:paraId="5A76C837" w14:textId="02DE9C75" w:rsidR="00274867" w:rsidRPr="00274867" w:rsidRDefault="00274867" w:rsidP="00E42491">
            <w:pPr>
              <w:pStyle w:val="TableText"/>
              <w:keepNext/>
              <w:spacing w:before="0" w:after="80"/>
              <w:rPr>
                <w:b/>
                <w:bCs/>
                <w:lang w:val="en-CA" w:eastAsia="en-CA"/>
              </w:rPr>
            </w:pPr>
            <w:r w:rsidRPr="003F5431">
              <w:rPr>
                <w:lang w:val="en-CA" w:eastAsia="en-CA"/>
              </w:rPr>
              <w:t>This integration can occur through conformance to the following specifications:</w:t>
            </w:r>
            <w:r>
              <w:rPr>
                <w:lang w:val="en-CA" w:eastAsia="en-CA"/>
              </w:rPr>
              <w:t xml:space="preserve"> </w:t>
            </w:r>
            <w:hyperlink r:id="rId71" w:history="1">
              <w:r>
                <w:rPr>
                  <w:rStyle w:val="Hyperlink"/>
                  <w:lang w:val="en-CA" w:eastAsia="en-CA"/>
                </w:rPr>
                <w:t>Single Sign On - Patient Context Sharing Standard</w:t>
              </w:r>
            </w:hyperlink>
            <w:r>
              <w:rPr>
                <w:rStyle w:val="Hyperlink"/>
              </w:rPr>
              <w:t xml:space="preserve"> v1.</w:t>
            </w:r>
            <w:r w:rsidR="00E42491">
              <w:rPr>
                <w:rStyle w:val="Hyperlink"/>
              </w:rPr>
              <w:t>4</w:t>
            </w:r>
            <w:r>
              <w:rPr>
                <w:rStyle w:val="Hyperlink"/>
              </w:rPr>
              <w:t>.</w:t>
            </w:r>
          </w:p>
        </w:tc>
      </w:tr>
      <w:tr w:rsidR="00274867" w14:paraId="6D7A57A8" w14:textId="5B13E596" w:rsidTr="228950F6">
        <w:tc>
          <w:tcPr>
            <w:tcW w:w="9360" w:type="dxa"/>
            <w:gridSpan w:val="2"/>
            <w:tcBorders>
              <w:left w:val="nil"/>
              <w:right w:val="nil"/>
            </w:tcBorders>
            <w:tcMar>
              <w:top w:w="58" w:type="dxa"/>
              <w:left w:w="115" w:type="dxa"/>
              <w:bottom w:w="58" w:type="dxa"/>
              <w:right w:w="115" w:type="dxa"/>
            </w:tcMar>
          </w:tcPr>
          <w:p w14:paraId="72230773" w14:textId="2184F642" w:rsidR="00274867" w:rsidRPr="00274867" w:rsidRDefault="00B051A5" w:rsidP="00F9702A">
            <w:pPr>
              <w:pStyle w:val="TableText"/>
              <w:rPr>
                <w:b/>
                <w:sz w:val="20"/>
                <w:szCs w:val="20"/>
                <w:lang w:val="en-CA" w:eastAsia="en-CA"/>
              </w:rPr>
            </w:pPr>
            <w:r>
              <w:rPr>
                <w:b/>
                <w:sz w:val="20"/>
                <w:szCs w:val="20"/>
                <w:lang w:val="en-CA" w:eastAsia="en-CA"/>
              </w:rPr>
              <w:t xml:space="preserve">Expected Response </w:t>
            </w:r>
            <w:r w:rsidR="00905DCF">
              <w:rPr>
                <w:b/>
                <w:sz w:val="20"/>
                <w:szCs w:val="20"/>
                <w:lang w:val="en-CA" w:eastAsia="en-CA"/>
              </w:rPr>
              <w:t>f</w:t>
            </w:r>
            <w:r w:rsidR="00274867" w:rsidRPr="00274867">
              <w:rPr>
                <w:b/>
                <w:sz w:val="20"/>
                <w:szCs w:val="20"/>
                <w:lang w:val="en-CA" w:eastAsia="en-CA"/>
              </w:rPr>
              <w:t>rom Vendor</w:t>
            </w:r>
          </w:p>
          <w:p w14:paraId="255B9658" w14:textId="4A4F017F" w:rsidR="00274867" w:rsidRPr="005E7BFB" w:rsidRDefault="00274867" w:rsidP="00410D4F">
            <w:pPr>
              <w:pStyle w:val="TableText"/>
              <w:rPr>
                <w:lang w:val="en-CA" w:eastAsia="en-CA"/>
              </w:rPr>
            </w:pPr>
            <w:r w:rsidRPr="005E7BFB">
              <w:rPr>
                <w:lang w:val="en-CA" w:eastAsia="en-CA"/>
              </w:rPr>
              <w:t xml:space="preserve">Preference will be given to responses that demonstrate previous experience participating in SSO with other systems, leveraging external identity providers and/or exchanging patient context, as well as </w:t>
            </w:r>
            <w:r>
              <w:rPr>
                <w:lang w:val="en-CA" w:eastAsia="en-CA"/>
              </w:rPr>
              <w:t>the implementation of the above-</w:t>
            </w:r>
            <w:r w:rsidRPr="005E7BFB">
              <w:rPr>
                <w:lang w:val="en-CA" w:eastAsia="en-CA"/>
              </w:rPr>
              <w:t>listed specifications.</w:t>
            </w:r>
          </w:p>
        </w:tc>
      </w:tr>
      <w:tr w:rsidR="00274867" w14:paraId="7AAE6F60" w14:textId="5EDB5C49" w:rsidTr="228950F6">
        <w:tc>
          <w:tcPr>
            <w:tcW w:w="9360" w:type="dxa"/>
            <w:gridSpan w:val="2"/>
            <w:tcBorders>
              <w:left w:val="nil"/>
              <w:right w:val="nil"/>
            </w:tcBorders>
            <w:shd w:val="clear" w:color="auto" w:fill="F8F8F8"/>
            <w:tcMar>
              <w:top w:w="58" w:type="dxa"/>
              <w:left w:w="115" w:type="dxa"/>
              <w:bottom w:w="58" w:type="dxa"/>
              <w:right w:w="115" w:type="dxa"/>
            </w:tcMar>
          </w:tcPr>
          <w:p w14:paraId="7AED361A" w14:textId="3D5FC9B2" w:rsidR="00274867" w:rsidRPr="00274867" w:rsidRDefault="00274867" w:rsidP="00F9702A">
            <w:pPr>
              <w:pStyle w:val="TableText"/>
              <w:rPr>
                <w:b/>
                <w:lang w:val="en-CA" w:eastAsia="en-CA"/>
              </w:rPr>
            </w:pPr>
            <w:r w:rsidRPr="00274867">
              <w:rPr>
                <w:b/>
                <w:lang w:val="en-CA" w:eastAsia="en-CA"/>
              </w:rPr>
              <w:t>Rationale</w:t>
            </w:r>
          </w:p>
          <w:p w14:paraId="7941776E" w14:textId="2693C33E" w:rsidR="00274867" w:rsidRPr="005E7BFB" w:rsidRDefault="00274867" w:rsidP="00F9702A">
            <w:pPr>
              <w:pStyle w:val="TableText"/>
              <w:rPr>
                <w:lang w:val="en-CA" w:eastAsia="en-CA"/>
              </w:rPr>
            </w:pPr>
            <w:r w:rsidRPr="005E7BFB">
              <w:rPr>
                <w:lang w:val="en-CA" w:eastAsia="en-CA"/>
              </w:rPr>
              <w:t>Single sign-on (SSO) is the process where a user logs on once to their POS system and is able to access a range of EHR applications through multiple channels without having to log</w:t>
            </w:r>
            <w:r w:rsidR="00410D4F">
              <w:rPr>
                <w:lang w:val="en-CA" w:eastAsia="en-CA"/>
              </w:rPr>
              <w:t xml:space="preserve"> </w:t>
            </w:r>
            <w:r w:rsidRPr="005E7BFB">
              <w:rPr>
                <w:lang w:val="en-CA" w:eastAsia="en-CA"/>
              </w:rPr>
              <w:t xml:space="preserve">on again during that session (e.g. a user with </w:t>
            </w:r>
            <w:r w:rsidR="00410D4F">
              <w:rPr>
                <w:lang w:val="en-CA" w:eastAsia="en-CA"/>
              </w:rPr>
              <w:t xml:space="preserve">an </w:t>
            </w:r>
            <w:r w:rsidRPr="005E7BFB">
              <w:rPr>
                <w:lang w:val="en-CA" w:eastAsia="en-CA"/>
              </w:rPr>
              <w:t xml:space="preserve">account issued by a hospital can access </w:t>
            </w:r>
            <w:r w:rsidR="00024AB6">
              <w:rPr>
                <w:lang w:val="en-CA" w:eastAsia="en-CA"/>
              </w:rPr>
              <w:t>Ontario Health</w:t>
            </w:r>
            <w:r w:rsidR="00A60AD5">
              <w:rPr>
                <w:lang w:val="en-CA" w:eastAsia="en-CA"/>
              </w:rPr>
              <w:t>’s</w:t>
            </w:r>
            <w:r w:rsidRPr="005E7BFB">
              <w:rPr>
                <w:lang w:val="en-CA" w:eastAsia="en-CA"/>
              </w:rPr>
              <w:t xml:space="preserve"> clinical viewers, as</w:t>
            </w:r>
            <w:r>
              <w:rPr>
                <w:lang w:val="en-CA" w:eastAsia="en-CA"/>
              </w:rPr>
              <w:t xml:space="preserve"> well as </w:t>
            </w:r>
            <w:r w:rsidR="00A60AD5">
              <w:rPr>
                <w:lang w:val="en-CA" w:eastAsia="en-CA"/>
              </w:rPr>
              <w:t>Ontario Health’s Cancer Care Ontario and Ontario Telemedicine Network</w:t>
            </w:r>
            <w:r>
              <w:rPr>
                <w:lang w:val="en-CA" w:eastAsia="en-CA"/>
              </w:rPr>
              <w:t xml:space="preserve"> portals).</w:t>
            </w:r>
          </w:p>
          <w:p w14:paraId="5F8FBE0E" w14:textId="50EA86DD" w:rsidR="00274867" w:rsidRPr="005E7BFB" w:rsidRDefault="00274867" w:rsidP="00F9702A">
            <w:pPr>
              <w:pStyle w:val="TableText"/>
              <w:rPr>
                <w:lang w:val="en-CA" w:eastAsia="en-CA"/>
              </w:rPr>
            </w:pPr>
            <w:r w:rsidRPr="005E7BFB">
              <w:rPr>
                <w:lang w:val="en-CA" w:eastAsia="en-CA"/>
              </w:rPr>
              <w:t>Benefits for health</w:t>
            </w:r>
            <w:r w:rsidR="00D0281B">
              <w:rPr>
                <w:lang w:val="en-CA" w:eastAsia="en-CA"/>
              </w:rPr>
              <w:t xml:space="preserve"> </w:t>
            </w:r>
            <w:r w:rsidRPr="005E7BFB">
              <w:rPr>
                <w:lang w:val="en-CA" w:eastAsia="en-CA"/>
              </w:rPr>
              <w:t>care providers:</w:t>
            </w:r>
          </w:p>
          <w:p w14:paraId="287B0C1C" w14:textId="7404C45B" w:rsidR="00274867" w:rsidRPr="005E7BFB" w:rsidRDefault="00274867" w:rsidP="00274867">
            <w:pPr>
              <w:pStyle w:val="TableText"/>
              <w:numPr>
                <w:ilvl w:val="0"/>
                <w:numId w:val="30"/>
              </w:numPr>
              <w:ind w:left="545" w:hanging="185"/>
              <w:rPr>
                <w:lang w:val="en-CA" w:eastAsia="en-CA"/>
              </w:rPr>
            </w:pPr>
            <w:r w:rsidRPr="005E7BFB">
              <w:rPr>
                <w:lang w:val="en-CA" w:eastAsia="en-CA"/>
              </w:rPr>
              <w:t>Users do not need to have, and remember, multiple user IDs and passwords</w:t>
            </w:r>
            <w:r>
              <w:rPr>
                <w:lang w:val="en-CA" w:eastAsia="en-CA"/>
              </w:rPr>
              <w:t>;</w:t>
            </w:r>
          </w:p>
          <w:p w14:paraId="138C4CAA" w14:textId="52591910" w:rsidR="00274867" w:rsidRPr="005E7BFB" w:rsidRDefault="00274867" w:rsidP="00274867">
            <w:pPr>
              <w:pStyle w:val="TableText"/>
              <w:numPr>
                <w:ilvl w:val="0"/>
                <w:numId w:val="30"/>
              </w:numPr>
              <w:ind w:left="545" w:hanging="185"/>
              <w:rPr>
                <w:lang w:val="en-CA" w:eastAsia="en-CA"/>
              </w:rPr>
            </w:pPr>
            <w:r w:rsidRPr="005E7BFB">
              <w:rPr>
                <w:lang w:val="en-CA" w:eastAsia="en-CA"/>
              </w:rPr>
              <w:t>Simplified and improved access to patient information and therefore improved patient outcomes</w:t>
            </w:r>
            <w:r>
              <w:rPr>
                <w:lang w:val="en-CA" w:eastAsia="en-CA"/>
              </w:rPr>
              <w:t>;</w:t>
            </w:r>
          </w:p>
          <w:p w14:paraId="0865DBF8" w14:textId="39059F9C" w:rsidR="00274867" w:rsidRPr="005E7BFB" w:rsidRDefault="00274867" w:rsidP="00274867">
            <w:pPr>
              <w:pStyle w:val="TableText"/>
              <w:numPr>
                <w:ilvl w:val="0"/>
                <w:numId w:val="30"/>
              </w:numPr>
              <w:ind w:left="545" w:hanging="185"/>
              <w:rPr>
                <w:lang w:val="en-CA" w:eastAsia="en-CA"/>
              </w:rPr>
            </w:pPr>
            <w:r w:rsidRPr="005E7BFB">
              <w:rPr>
                <w:lang w:val="en-CA" w:eastAsia="en-CA"/>
              </w:rPr>
              <w:t xml:space="preserve">Number of </w:t>
            </w:r>
            <w:r w:rsidR="00410D4F">
              <w:rPr>
                <w:lang w:val="en-CA" w:eastAsia="en-CA"/>
              </w:rPr>
              <w:t>health</w:t>
            </w:r>
            <w:r w:rsidR="00FA5BAA">
              <w:rPr>
                <w:lang w:val="en-CA" w:eastAsia="en-CA"/>
              </w:rPr>
              <w:t xml:space="preserve"> </w:t>
            </w:r>
            <w:r w:rsidRPr="005E7BFB">
              <w:rPr>
                <w:lang w:val="en-CA" w:eastAsia="en-CA"/>
              </w:rPr>
              <w:t>care provide</w:t>
            </w:r>
            <w:r w:rsidR="00410D4F">
              <w:rPr>
                <w:lang w:val="en-CA" w:eastAsia="en-CA"/>
              </w:rPr>
              <w:t>rs (HCPs) who can access health</w:t>
            </w:r>
            <w:r w:rsidR="00FA5BAA">
              <w:rPr>
                <w:lang w:val="en-CA" w:eastAsia="en-CA"/>
              </w:rPr>
              <w:t xml:space="preserve"> </w:t>
            </w:r>
            <w:r w:rsidRPr="005E7BFB">
              <w:rPr>
                <w:lang w:val="en-CA" w:eastAsia="en-CA"/>
              </w:rPr>
              <w:t>care applications can be increased rapidly</w:t>
            </w:r>
            <w:r>
              <w:rPr>
                <w:lang w:val="en-CA" w:eastAsia="en-CA"/>
              </w:rPr>
              <w:t>.</w:t>
            </w:r>
          </w:p>
          <w:p w14:paraId="46B47423" w14:textId="5F8A53CB" w:rsidR="00274867" w:rsidRPr="005E7BFB" w:rsidRDefault="00274867" w:rsidP="00F9702A">
            <w:pPr>
              <w:pStyle w:val="TableText"/>
              <w:spacing w:before="80"/>
              <w:rPr>
                <w:lang w:val="en-CA" w:eastAsia="en-CA"/>
              </w:rPr>
            </w:pPr>
            <w:r w:rsidRPr="005E7BFB">
              <w:rPr>
                <w:lang w:val="en-CA" w:eastAsia="en-CA"/>
              </w:rPr>
              <w:t>Benefits for health service providers:</w:t>
            </w:r>
          </w:p>
          <w:p w14:paraId="13D841A7" w14:textId="44B38FE3" w:rsidR="00274867" w:rsidRPr="005E7BFB" w:rsidRDefault="00274867" w:rsidP="00274867">
            <w:pPr>
              <w:pStyle w:val="TableText"/>
              <w:numPr>
                <w:ilvl w:val="0"/>
                <w:numId w:val="30"/>
              </w:numPr>
              <w:ind w:left="545" w:hanging="185"/>
              <w:rPr>
                <w:lang w:val="en-CA" w:eastAsia="en-CA"/>
              </w:rPr>
            </w:pPr>
            <w:r w:rsidRPr="005E7BFB">
              <w:rPr>
                <w:lang w:val="en-CA" w:eastAsia="en-CA"/>
              </w:rPr>
              <w:t>Supports sharing of hospital and</w:t>
            </w:r>
            <w:r w:rsidR="00410D4F">
              <w:rPr>
                <w:lang w:val="en-CA" w:eastAsia="en-CA"/>
              </w:rPr>
              <w:t xml:space="preserve"> LHIN-based health</w:t>
            </w:r>
            <w:r w:rsidR="005F5EB0">
              <w:rPr>
                <w:lang w:val="en-CA" w:eastAsia="en-CA"/>
              </w:rPr>
              <w:t xml:space="preserve"> </w:t>
            </w:r>
            <w:r w:rsidRPr="005E7BFB">
              <w:rPr>
                <w:lang w:val="en-CA" w:eastAsia="en-CA"/>
              </w:rPr>
              <w:t>care application solutions</w:t>
            </w:r>
            <w:r>
              <w:rPr>
                <w:lang w:val="en-CA" w:eastAsia="en-CA"/>
              </w:rPr>
              <w:t>;</w:t>
            </w:r>
          </w:p>
          <w:p w14:paraId="6A5B5C76" w14:textId="452F871A" w:rsidR="00274867" w:rsidRPr="005E7BFB" w:rsidRDefault="005F5EB0" w:rsidP="00274867">
            <w:pPr>
              <w:pStyle w:val="TableText"/>
              <w:numPr>
                <w:ilvl w:val="0"/>
                <w:numId w:val="30"/>
              </w:numPr>
              <w:ind w:left="545" w:hanging="185"/>
              <w:rPr>
                <w:lang w:val="en-CA" w:eastAsia="en-CA"/>
              </w:rPr>
            </w:pPr>
            <w:r>
              <w:rPr>
                <w:lang w:val="en-CA" w:eastAsia="en-CA"/>
              </w:rPr>
              <w:t>Enables</w:t>
            </w:r>
            <w:r w:rsidRPr="005E7BFB">
              <w:rPr>
                <w:lang w:val="en-CA" w:eastAsia="en-CA"/>
              </w:rPr>
              <w:t xml:space="preserve"> </w:t>
            </w:r>
            <w:r w:rsidR="00274867" w:rsidRPr="005E7BFB">
              <w:rPr>
                <w:lang w:val="en-CA" w:eastAsia="en-CA"/>
              </w:rPr>
              <w:t>organizations to leverage existing assets to improve total cost of ownership (TCO) and maximize return on investment (ROI)</w:t>
            </w:r>
            <w:r w:rsidR="00274867">
              <w:rPr>
                <w:lang w:val="en-CA" w:eastAsia="en-CA"/>
              </w:rPr>
              <w:t>;</w:t>
            </w:r>
          </w:p>
          <w:p w14:paraId="4DF70EEE" w14:textId="0E34F2D6" w:rsidR="00274867" w:rsidRPr="005E7BFB" w:rsidRDefault="00274867" w:rsidP="00274867">
            <w:pPr>
              <w:pStyle w:val="TableText"/>
              <w:numPr>
                <w:ilvl w:val="0"/>
                <w:numId w:val="30"/>
              </w:numPr>
              <w:ind w:left="545" w:hanging="185"/>
              <w:rPr>
                <w:lang w:val="en-CA" w:eastAsia="en-CA"/>
              </w:rPr>
            </w:pPr>
            <w:r w:rsidRPr="005E7BFB">
              <w:rPr>
                <w:lang w:val="en-CA" w:eastAsia="en-CA"/>
              </w:rPr>
              <w:t xml:space="preserve">Simplifies </w:t>
            </w:r>
            <w:r w:rsidR="00410D4F">
              <w:rPr>
                <w:lang w:val="en-CA" w:eastAsia="en-CA"/>
              </w:rPr>
              <w:t>administration</w:t>
            </w:r>
            <w:r w:rsidRPr="005E7BFB">
              <w:rPr>
                <w:lang w:val="en-CA" w:eastAsia="en-CA"/>
              </w:rPr>
              <w:t>, business agreements and technical interaction between health</w:t>
            </w:r>
            <w:r w:rsidR="005F5EB0">
              <w:rPr>
                <w:lang w:val="en-CA" w:eastAsia="en-CA"/>
              </w:rPr>
              <w:t xml:space="preserve"> </w:t>
            </w:r>
            <w:r w:rsidRPr="005E7BFB">
              <w:rPr>
                <w:lang w:val="en-CA" w:eastAsia="en-CA"/>
              </w:rPr>
              <w:t>care organizations</w:t>
            </w:r>
            <w:r>
              <w:rPr>
                <w:lang w:val="en-CA" w:eastAsia="en-CA"/>
              </w:rPr>
              <w:t>;</w:t>
            </w:r>
          </w:p>
          <w:p w14:paraId="1A04A82A" w14:textId="60496BFF" w:rsidR="00274867" w:rsidRPr="005E7BFB" w:rsidRDefault="00274867" w:rsidP="00274867">
            <w:pPr>
              <w:pStyle w:val="TableText"/>
              <w:numPr>
                <w:ilvl w:val="0"/>
                <w:numId w:val="30"/>
              </w:numPr>
              <w:ind w:left="545" w:hanging="185"/>
              <w:rPr>
                <w:lang w:val="en-CA" w:eastAsia="en-CA"/>
              </w:rPr>
            </w:pPr>
            <w:r w:rsidRPr="005E7BFB">
              <w:rPr>
                <w:lang w:val="en-CA" w:eastAsia="en-CA"/>
              </w:rPr>
              <w:t>Standardizes identity validation and authentication across the province</w:t>
            </w:r>
            <w:r>
              <w:rPr>
                <w:lang w:val="en-CA" w:eastAsia="en-CA"/>
              </w:rPr>
              <w:t>.</w:t>
            </w:r>
          </w:p>
          <w:p w14:paraId="207054DB" w14:textId="3BCCDB24" w:rsidR="00274867" w:rsidRPr="005E7BFB" w:rsidRDefault="00274867" w:rsidP="00410D4F">
            <w:pPr>
              <w:pStyle w:val="TableText"/>
              <w:spacing w:before="100"/>
              <w:rPr>
                <w:lang w:val="en-CA" w:eastAsia="en-CA"/>
              </w:rPr>
            </w:pPr>
            <w:r w:rsidRPr="005E7BFB">
              <w:rPr>
                <w:lang w:val="en-CA" w:eastAsia="en-CA"/>
              </w:rPr>
              <w:t xml:space="preserve">With SSO initiated from a POS system, providers are able to obtain relatively seamless access to </w:t>
            </w:r>
            <w:r w:rsidR="00410D4F">
              <w:rPr>
                <w:lang w:val="en-CA" w:eastAsia="en-CA"/>
              </w:rPr>
              <w:t>additional</w:t>
            </w:r>
            <w:r w:rsidRPr="005E7BFB">
              <w:rPr>
                <w:lang w:val="en-CA" w:eastAsia="en-CA"/>
              </w:rPr>
              <w:t xml:space="preserve"> comprehensive, up-to-date and relevant patient data.</w:t>
            </w:r>
          </w:p>
        </w:tc>
      </w:tr>
    </w:tbl>
    <w:p w14:paraId="10F39F9A" w14:textId="79C2005E" w:rsidR="00F9702A" w:rsidRDefault="00F9702A" w:rsidP="00274867">
      <w:pPr>
        <w:pStyle w:val="Heading2"/>
      </w:pPr>
      <w:bookmarkStart w:id="69" w:name="_Ref40882889"/>
      <w:bookmarkStart w:id="70" w:name="_Toc54611007"/>
      <w:r>
        <w:t>Launching Clinical Viewers</w:t>
      </w:r>
      <w:bookmarkEnd w:id="69"/>
      <w:bookmarkEnd w:id="70"/>
    </w:p>
    <w:p w14:paraId="6D3E95CF" w14:textId="58F2CB40" w:rsidR="00F9702A" w:rsidRDefault="00F9702A" w:rsidP="0DCEC5F2">
      <w:pPr>
        <w:pStyle w:val="Body"/>
      </w:pPr>
      <w:r>
        <w:t>Clinical Viewers are web-based portals that access provincial EHR assets and make them available for organizations that do not have POS systems that can directly access the assets. The ability to launch these viewers using the secure authentication and access methods described above can be used where direct integration is not possible.</w:t>
      </w:r>
      <w:r w:rsidR="00BC72AC">
        <w:t xml:space="preserve"> Ontario Health supports three provincial clinical viewers, each of which presents a subset of provincial data. Depending on which data your users need, you may choose to launch a</w:t>
      </w:r>
      <w:r w:rsidR="006D7713">
        <w:t xml:space="preserve">ny one of the </w:t>
      </w:r>
      <w:r w:rsidR="00BC72AC">
        <w:t>viewer</w:t>
      </w:r>
      <w:r w:rsidR="006D7713">
        <w:t>s</w:t>
      </w:r>
      <w:r w:rsidR="00BC72AC">
        <w:t>. ClinicalConnect has the largest data</w:t>
      </w:r>
      <w:r w:rsidR="00B6092B">
        <w:t xml:space="preserve"> </w:t>
      </w:r>
      <w:r w:rsidR="00BC72AC">
        <w:t xml:space="preserve">set; </w:t>
      </w:r>
      <w:r w:rsidR="00484153">
        <w:t xml:space="preserve">followed by </w:t>
      </w:r>
      <w:r w:rsidR="00BC72AC">
        <w:t xml:space="preserve">ConnectingOntario </w:t>
      </w:r>
      <w:r w:rsidR="00484153">
        <w:t>and</w:t>
      </w:r>
      <w:r w:rsidR="00BC72AC">
        <w:t xml:space="preserve"> the eHealth Portal</w:t>
      </w:r>
      <w:r w:rsidR="006D7713">
        <w:t>.</w:t>
      </w:r>
    </w:p>
    <w:p w14:paraId="398770ED" w14:textId="46C02685" w:rsidR="00274867" w:rsidRPr="0010510E" w:rsidRDefault="00274867" w:rsidP="00274867">
      <w:pPr>
        <w:pStyle w:val="Heading3"/>
      </w:pPr>
      <w:bookmarkStart w:id="71" w:name="_Toc54611008"/>
      <w:r>
        <w:t>ConnectingOntario ClinicalViewer</w:t>
      </w:r>
      <w:bookmarkEnd w:id="71"/>
    </w:p>
    <w:p w14:paraId="15060F40" w14:textId="735ACCDB" w:rsidR="00F9702A" w:rsidRDefault="00F9702A" w:rsidP="00274867">
      <w:pPr>
        <w:pStyle w:val="Body"/>
      </w:pPr>
      <w:r w:rsidRPr="00274867">
        <w:rPr>
          <w:bCs/>
        </w:rPr>
        <w:t>ConnectingOntario ClinicalViewer</w:t>
      </w:r>
      <w:r w:rsidRPr="0010510E">
        <w:t xml:space="preserve"> is a secure, web-based portal that provides real-time access to digital health records including dispensed medications, laboratory results, hospital visits, Local Health Integration Networks’ (LHIN) </w:t>
      </w:r>
      <w:r w:rsidR="00EB16AD">
        <w:t>h</w:t>
      </w:r>
      <w:r w:rsidRPr="0010510E">
        <w:t xml:space="preserve">ome and </w:t>
      </w:r>
      <w:r w:rsidR="00EB16AD">
        <w:t>c</w:t>
      </w:r>
      <w:r w:rsidRPr="0010510E">
        <w:t xml:space="preserve">ommunity </w:t>
      </w:r>
      <w:r w:rsidR="00EB16AD">
        <w:t>c</w:t>
      </w:r>
      <w:r w:rsidRPr="0010510E">
        <w:t xml:space="preserve">are </w:t>
      </w:r>
      <w:r w:rsidR="0005176E">
        <w:t>s</w:t>
      </w:r>
      <w:r w:rsidRPr="0010510E">
        <w:t>ervices, mental health</w:t>
      </w:r>
      <w:r w:rsidR="00D5261A">
        <w:t xml:space="preserve"> and addictions </w:t>
      </w:r>
      <w:r w:rsidRPr="0010510E">
        <w:t>care information and diagnostic imaging reports and images.</w:t>
      </w:r>
      <w:r>
        <w:t xml:space="preserve"> The ConnectingOntario ClinicalViewer can be launched from a POS system using the SAML based single sign-on.</w:t>
      </w:r>
    </w:p>
    <w:tbl>
      <w:tblPr>
        <w:tblStyle w:val="TableGrid"/>
        <w:tblW w:w="6480" w:type="dxa"/>
        <w:tblInd w:w="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480"/>
      </w:tblGrid>
      <w:tr w:rsidR="00274867" w14:paraId="033A51BD" w14:textId="77777777" w:rsidTr="228950F6">
        <w:tc>
          <w:tcPr>
            <w:tcW w:w="6480" w:type="dxa"/>
            <w:tcMar>
              <w:top w:w="115" w:type="dxa"/>
              <w:left w:w="173" w:type="dxa"/>
              <w:bottom w:w="115" w:type="dxa"/>
              <w:right w:w="173" w:type="dxa"/>
            </w:tcMar>
          </w:tcPr>
          <w:p w14:paraId="621CBAE2" w14:textId="4914C7F6" w:rsidR="00274867" w:rsidRDefault="00274867" w:rsidP="00274867">
            <w:pPr>
              <w:pStyle w:val="Body"/>
            </w:pPr>
            <w:r>
              <w:rPr>
                <w:noProof/>
              </w:rPr>
              <w:drawing>
                <wp:inline distT="0" distB="0" distL="0" distR="0" wp14:anchorId="3D48147D" wp14:editId="25716AD8">
                  <wp:extent cx="3752850" cy="2428851"/>
                  <wp:effectExtent l="0" t="0" r="0" b="0"/>
                  <wp:docPr id="11732714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2">
                            <a:extLst>
                              <a:ext uri="{28A0092B-C50C-407E-A947-70E740481C1C}">
                                <a14:useLocalDpi xmlns:a14="http://schemas.microsoft.com/office/drawing/2010/main" val="0"/>
                              </a:ext>
                            </a:extLst>
                          </a:blip>
                          <a:stretch>
                            <a:fillRect/>
                          </a:stretch>
                        </pic:blipFill>
                        <pic:spPr>
                          <a:xfrm>
                            <a:off x="0" y="0"/>
                            <a:ext cx="3752850" cy="2428851"/>
                          </a:xfrm>
                          <a:prstGeom prst="rect">
                            <a:avLst/>
                          </a:prstGeom>
                        </pic:spPr>
                      </pic:pic>
                    </a:graphicData>
                  </a:graphic>
                </wp:inline>
              </w:drawing>
            </w:r>
          </w:p>
        </w:tc>
      </w:tr>
    </w:tbl>
    <w:p w14:paraId="561521DB" w14:textId="64A668DB" w:rsidR="00274867" w:rsidRDefault="00274867" w:rsidP="00274867">
      <w:pPr>
        <w:pStyle w:val="Figure"/>
      </w:pPr>
      <w:r>
        <w:t>ClinicalViewer</w:t>
      </w:r>
    </w:p>
    <w:p w14:paraId="6F9A9CF1" w14:textId="249F070D" w:rsidR="00274867" w:rsidRDefault="00274867" w:rsidP="00274867">
      <w:pPr>
        <w:pStyle w:val="Heading3"/>
      </w:pPr>
      <w:bookmarkStart w:id="72" w:name="_Toc54611009"/>
      <w:r>
        <w:t>ClinicalConnect</w:t>
      </w:r>
      <w:bookmarkEnd w:id="72"/>
    </w:p>
    <w:p w14:paraId="70E3AE45" w14:textId="7A2CE710" w:rsidR="00F9702A" w:rsidRDefault="00F9702A" w:rsidP="00274867">
      <w:pPr>
        <w:pStyle w:val="Body"/>
      </w:pPr>
      <w:r w:rsidRPr="00A13BE9">
        <w:rPr>
          <w:b/>
          <w:bCs/>
        </w:rPr>
        <w:t>ClinicalConnect</w:t>
      </w:r>
      <w:r w:rsidRPr="0010510E">
        <w:t xml:space="preserve"> is a secure, web-based portal that gives health</w:t>
      </w:r>
      <w:r w:rsidR="00D5261A">
        <w:t xml:space="preserve"> </w:t>
      </w:r>
      <w:r w:rsidRPr="0010510E">
        <w:t>care providers real-time access to their patients’ electronic med</w:t>
      </w:r>
      <w:r>
        <w:t>ical information from all acute</w:t>
      </w:r>
      <w:r w:rsidR="005F6844">
        <w:t xml:space="preserve"> </w:t>
      </w:r>
      <w:r w:rsidRPr="0010510E">
        <w:t xml:space="preserve">care hospitals, Local Health Integration Networks' (LHIN) </w:t>
      </w:r>
      <w:r w:rsidR="00EB16AD">
        <w:t>h</w:t>
      </w:r>
      <w:r w:rsidRPr="0010510E">
        <w:t xml:space="preserve">ome and </w:t>
      </w:r>
      <w:r w:rsidR="00EB16AD">
        <w:t>c</w:t>
      </w:r>
      <w:r w:rsidRPr="0010510E">
        <w:t xml:space="preserve">ommunity </w:t>
      </w:r>
      <w:r w:rsidR="00EB16AD">
        <w:t>c</w:t>
      </w:r>
      <w:r w:rsidRPr="0010510E">
        <w:t xml:space="preserve">are </w:t>
      </w:r>
      <w:r w:rsidR="005F6844">
        <w:t>s</w:t>
      </w:r>
      <w:r w:rsidRPr="0010510E">
        <w:t xml:space="preserve">ervices and </w:t>
      </w:r>
      <w:r w:rsidR="005F6844">
        <w:t>r</w:t>
      </w:r>
      <w:r w:rsidRPr="0010510E">
        <w:t xml:space="preserve">egional </w:t>
      </w:r>
      <w:r w:rsidR="005F6844">
        <w:t>c</w:t>
      </w:r>
      <w:r w:rsidRPr="0010510E">
        <w:t xml:space="preserve">ancer </w:t>
      </w:r>
      <w:r w:rsidR="005F6844">
        <w:t>p</w:t>
      </w:r>
      <w:r w:rsidRPr="0010510E">
        <w:t>rograms in South West Ontario, in addition to various provincial clinical data repositories.</w:t>
      </w:r>
      <w:r>
        <w:t xml:space="preserve"> ClinicalConnect can be launched fr</w:t>
      </w:r>
      <w:r w:rsidR="00D34EE1">
        <w:t xml:space="preserve">om a POS system using the </w:t>
      </w:r>
      <w:r w:rsidR="00043174">
        <w:t>SAML</w:t>
      </w:r>
      <w:r w:rsidR="00D34EE1">
        <w:t>-</w:t>
      </w:r>
      <w:r>
        <w:t xml:space="preserve">based </w:t>
      </w:r>
      <w:r w:rsidR="00D34EE1">
        <w:t>SSO</w:t>
      </w:r>
      <w:r>
        <w:t xml:space="preserve"> described in previous sections and supports the context</w:t>
      </w:r>
      <w:r w:rsidR="00D34EE1">
        <w:t>-</w:t>
      </w:r>
      <w:r>
        <w:t>management system for launching the viewer with the correct patient results.</w:t>
      </w:r>
    </w:p>
    <w:tbl>
      <w:tblPr>
        <w:tblStyle w:val="TableGrid"/>
        <w:tblW w:w="7427" w:type="dxa"/>
        <w:tblInd w:w="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427"/>
      </w:tblGrid>
      <w:tr w:rsidR="00274867" w14:paraId="7EF896B7" w14:textId="77777777" w:rsidTr="00140716">
        <w:trPr>
          <w:trHeight w:val="2444"/>
        </w:trPr>
        <w:tc>
          <w:tcPr>
            <w:tcW w:w="7427" w:type="dxa"/>
            <w:tcMar>
              <w:top w:w="115" w:type="dxa"/>
              <w:left w:w="173" w:type="dxa"/>
              <w:bottom w:w="115" w:type="dxa"/>
              <w:right w:w="173" w:type="dxa"/>
            </w:tcMar>
          </w:tcPr>
          <w:p w14:paraId="70015A78" w14:textId="7876667B" w:rsidR="00274867" w:rsidRDefault="00043174" w:rsidP="00A37377">
            <w:pPr>
              <w:pStyle w:val="Body"/>
            </w:pPr>
            <w:r>
              <w:object w:dxaOrig="8926" w:dyaOrig="7531" w14:anchorId="22B5F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220.5pt" o:ole="">
                  <v:imagedata r:id="rId73" o:title=""/>
                </v:shape>
                <o:OLEObject Type="Embed" ProgID="Visio.Drawing.15" ShapeID="_x0000_i1025" DrawAspect="Content" ObjectID="_1669036221" r:id="rId74"/>
              </w:object>
            </w:r>
          </w:p>
        </w:tc>
      </w:tr>
    </w:tbl>
    <w:p w14:paraId="21BAE4B1" w14:textId="3A95EB3B" w:rsidR="00274867" w:rsidRDefault="00274867" w:rsidP="00274867">
      <w:pPr>
        <w:pStyle w:val="Figure"/>
      </w:pPr>
      <w:r>
        <w:t>ClinicalConnect</w:t>
      </w:r>
    </w:p>
    <w:p w14:paraId="69A178BC" w14:textId="1C1E8D01" w:rsidR="00F9702A" w:rsidRDefault="00274867" w:rsidP="00274867">
      <w:pPr>
        <w:pStyle w:val="Heading3"/>
      </w:pPr>
      <w:bookmarkStart w:id="73" w:name="_Toc54611010"/>
      <w:r>
        <w:t>eHealth Portal</w:t>
      </w:r>
      <w:bookmarkEnd w:id="73"/>
    </w:p>
    <w:p w14:paraId="72A1C53F" w14:textId="30FB775C" w:rsidR="00F9702A" w:rsidRDefault="00F9702A" w:rsidP="00274867">
      <w:pPr>
        <w:pStyle w:val="Body"/>
      </w:pPr>
      <w:r w:rsidRPr="00274867">
        <w:rPr>
          <w:bCs/>
        </w:rPr>
        <w:t>eHealth Portal</w:t>
      </w:r>
      <w:r w:rsidRPr="0010510E">
        <w:t xml:space="preserve"> is a secure web-based viewer that offers health</w:t>
      </w:r>
      <w:r w:rsidR="00DA4AB7">
        <w:t xml:space="preserve"> </w:t>
      </w:r>
      <w:r w:rsidRPr="0010510E">
        <w:t>care providers</w:t>
      </w:r>
      <w:r w:rsidR="00B13464">
        <w:t xml:space="preserve"> that </w:t>
      </w:r>
      <w:r w:rsidR="00C95CA6">
        <w:t>do</w:t>
      </w:r>
      <w:r w:rsidRPr="0010510E">
        <w:t xml:space="preserve"> not have access to one of the provincial clinical viewers, a single point of access to their patients’ digital health information. Eligible health</w:t>
      </w:r>
      <w:r w:rsidR="00B13464">
        <w:t xml:space="preserve"> </w:t>
      </w:r>
      <w:r w:rsidRPr="0010510E">
        <w:t>care providers can access lab results, diagnostic images, drug data and other health-related information and applications, giving them a more complete picture of their patients’ health, which supports better decision-making and care.</w:t>
      </w:r>
      <w:r>
        <w:t xml:space="preserve"> The eHealth Portal can be launched from a</w:t>
      </w:r>
      <w:r w:rsidR="00D34EE1">
        <w:t xml:space="preserve"> POS system using the SAML-</w:t>
      </w:r>
      <w:r>
        <w:t xml:space="preserve">based </w:t>
      </w:r>
      <w:r w:rsidR="00D34EE1">
        <w:t>SSO</w:t>
      </w:r>
      <w:r>
        <w:t xml:space="preserve"> described in previous sections. eHealth Portal does not support federated identities.</w:t>
      </w:r>
    </w:p>
    <w:tbl>
      <w:tblPr>
        <w:tblStyle w:val="TableGrid"/>
        <w:tblW w:w="6510" w:type="dxa"/>
        <w:tblInd w:w="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645"/>
      </w:tblGrid>
      <w:tr w:rsidR="00274867" w14:paraId="22D030CE" w14:textId="77777777" w:rsidTr="00274867">
        <w:tc>
          <w:tcPr>
            <w:tcW w:w="6510" w:type="dxa"/>
            <w:tcMar>
              <w:top w:w="115" w:type="dxa"/>
              <w:left w:w="173" w:type="dxa"/>
              <w:bottom w:w="115" w:type="dxa"/>
              <w:right w:w="173" w:type="dxa"/>
            </w:tcMar>
          </w:tcPr>
          <w:p w14:paraId="5C401E1D" w14:textId="2276A8E6" w:rsidR="00274867" w:rsidRDefault="00274867" w:rsidP="00A37377">
            <w:pPr>
              <w:pStyle w:val="Body"/>
            </w:pPr>
            <w:r>
              <w:object w:dxaOrig="8191" w:dyaOrig="4711" w14:anchorId="503F2B8D">
                <v:shape id="_x0000_i1026" type="#_x0000_t75" style="width:315pt;height:181.5pt" o:ole="">
                  <v:imagedata r:id="rId75" o:title=""/>
                </v:shape>
                <o:OLEObject Type="Embed" ProgID="Visio.Drawing.15" ShapeID="_x0000_i1026" DrawAspect="Content" ObjectID="_1669036222" r:id="rId76"/>
              </w:object>
            </w:r>
          </w:p>
        </w:tc>
      </w:tr>
    </w:tbl>
    <w:p w14:paraId="27ED0263" w14:textId="4ABBA8EC" w:rsidR="00274867" w:rsidRDefault="00274867" w:rsidP="00274867">
      <w:pPr>
        <w:pStyle w:val="Figure"/>
      </w:pPr>
      <w:r>
        <w:t>eHealth Portal</w:t>
      </w:r>
    </w:p>
    <w:p w14:paraId="7C1FF68B" w14:textId="6991EDF1" w:rsidR="001E0311" w:rsidRDefault="00F10A3B" w:rsidP="0DCEC5F2">
      <w:pPr>
        <w:pStyle w:val="Heading1"/>
      </w:pPr>
      <w:bookmarkStart w:id="74" w:name="_Toc54611011"/>
      <w:r>
        <w:t xml:space="preserve">Health Information </w:t>
      </w:r>
      <w:r w:rsidR="001E0311">
        <w:t>Requirements</w:t>
      </w:r>
      <w:bookmarkEnd w:id="74"/>
    </w:p>
    <w:tbl>
      <w:tblPr>
        <w:tblStyle w:val="TableGrid"/>
        <w:tblW w:w="9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ayout w:type="fixed"/>
        <w:tblLook w:val="04A0" w:firstRow="1" w:lastRow="0" w:firstColumn="1" w:lastColumn="0" w:noHBand="0" w:noVBand="1"/>
      </w:tblPr>
      <w:tblGrid>
        <w:gridCol w:w="900"/>
        <w:gridCol w:w="8364"/>
      </w:tblGrid>
      <w:tr w:rsidR="00876F92" w14:paraId="72471321" w14:textId="77777777" w:rsidTr="228950F6">
        <w:tc>
          <w:tcPr>
            <w:tcW w:w="900" w:type="dxa"/>
            <w:shd w:val="clear" w:color="auto" w:fill="EEECE1" w:themeFill="background2"/>
          </w:tcPr>
          <w:p w14:paraId="10A7E5A6" w14:textId="013C6C1B" w:rsidR="00876F92" w:rsidRPr="00B43C7D" w:rsidRDefault="00876F92" w:rsidP="00805359">
            <w:pPr>
              <w:pStyle w:val="Body"/>
            </w:pPr>
            <w:r>
              <w:rPr>
                <w:rFonts w:ascii="Medium-65" w:hAnsi="Medium-65" w:cs="Arial"/>
                <w:noProof/>
                <w:color w:val="6D6D6D"/>
                <w:sz w:val="21"/>
                <w:szCs w:val="21"/>
              </w:rPr>
              <w:drawing>
                <wp:inline distT="0" distB="0" distL="0" distR="0" wp14:anchorId="7E89818E" wp14:editId="7315A846">
                  <wp:extent cx="503986" cy="503986"/>
                  <wp:effectExtent l="0" t="0" r="0" b="0"/>
                  <wp:docPr id="35" name="Picture 35" descr="integration Icon 3266034">
                    <a:hlinkClick xmlns:a="http://schemas.openxmlformats.org/drawingml/2006/main" r:id="rId77" tooltip="&quot;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tegration Icon 3266034">
                            <a:hlinkClick r:id="rId77" tooltip="&quot;integration&quot;"/>
                          </pic:cNvPr>
                          <pic:cNvPicPr>
                            <a:picLocks noChangeAspect="1" noChangeArrowheads="1"/>
                          </pic:cNvPicPr>
                        </pic:nvPicPr>
                        <pic:blipFill>
                          <a:blip r:embed="rId78" cstate="screen">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0959" cy="520959"/>
                          </a:xfrm>
                          <a:prstGeom prst="rect">
                            <a:avLst/>
                          </a:prstGeom>
                          <a:noFill/>
                          <a:ln>
                            <a:noFill/>
                          </a:ln>
                        </pic:spPr>
                      </pic:pic>
                    </a:graphicData>
                  </a:graphic>
                </wp:inline>
              </w:drawing>
            </w:r>
          </w:p>
        </w:tc>
        <w:tc>
          <w:tcPr>
            <w:tcW w:w="8364" w:type="dxa"/>
            <w:shd w:val="clear" w:color="auto" w:fill="EEECE1" w:themeFill="background2"/>
            <w:vAlign w:val="center"/>
          </w:tcPr>
          <w:p w14:paraId="1421DDCF" w14:textId="4CA85B38" w:rsidR="00876F92" w:rsidRPr="00654F4B" w:rsidRDefault="00876F92">
            <w:pPr>
              <w:pStyle w:val="Body"/>
              <w:spacing w:line="240" w:lineRule="auto"/>
              <w:ind w:right="336"/>
              <w:rPr>
                <w:color w:val="404040" w:themeColor="text1" w:themeTint="BF"/>
                <w:spacing w:val="-2"/>
                <w:sz w:val="20"/>
                <w:szCs w:val="20"/>
              </w:rPr>
            </w:pPr>
            <w:r w:rsidRPr="00917C5A">
              <w:rPr>
                <w:color w:val="404040" w:themeColor="text1" w:themeTint="BF"/>
                <w:spacing w:val="-2"/>
                <w:sz w:val="20"/>
                <w:szCs w:val="20"/>
              </w:rPr>
              <w:t xml:space="preserve">The following </w:t>
            </w:r>
            <w:r w:rsidRPr="009B7A32">
              <w:rPr>
                <w:color w:val="404040" w:themeColor="text1" w:themeTint="BF"/>
                <w:spacing w:val="-2"/>
                <w:sz w:val="20"/>
                <w:szCs w:val="20"/>
              </w:rPr>
              <w:t xml:space="preserve">requirements for </w:t>
            </w:r>
            <w:r w:rsidR="00F10A3B">
              <w:rPr>
                <w:rFonts w:asciiTheme="minorHAnsi" w:hAnsiTheme="minorHAnsi"/>
                <w:b/>
                <w:color w:val="C05B08"/>
                <w:spacing w:val="-2"/>
                <w:sz w:val="18"/>
                <w:szCs w:val="18"/>
              </w:rPr>
              <w:t xml:space="preserve">health information standards </w:t>
            </w:r>
            <w:r w:rsidRPr="00917C5A">
              <w:rPr>
                <w:color w:val="404040" w:themeColor="text1" w:themeTint="BF"/>
                <w:spacing w:val="-2"/>
                <w:sz w:val="20"/>
                <w:szCs w:val="20"/>
              </w:rPr>
              <w:t>are provided as guidance to organizations planning POS s</w:t>
            </w:r>
            <w:r>
              <w:rPr>
                <w:color w:val="404040" w:themeColor="text1" w:themeTint="BF"/>
                <w:spacing w:val="-2"/>
                <w:sz w:val="20"/>
                <w:szCs w:val="20"/>
              </w:rPr>
              <w:t>ystem procurement.</w:t>
            </w:r>
          </w:p>
        </w:tc>
      </w:tr>
    </w:tbl>
    <w:p w14:paraId="1DA5EBEF" w14:textId="3493C9A3" w:rsidR="001E0311" w:rsidRDefault="001E0311" w:rsidP="00A13BE9">
      <w:pPr>
        <w:pStyle w:val="Heading2"/>
      </w:pPr>
      <w:bookmarkStart w:id="75" w:name="_Toc54611012"/>
      <w:r>
        <w:t>Terminology Standards</w:t>
      </w:r>
      <w:bookmarkEnd w:id="75"/>
    </w:p>
    <w:tbl>
      <w:tblPr>
        <w:tblStyle w:val="TableGrid"/>
        <w:tblW w:w="0" w:type="auto"/>
        <w:tblLook w:val="04A0" w:firstRow="1" w:lastRow="0" w:firstColumn="1" w:lastColumn="0" w:noHBand="0" w:noVBand="1"/>
      </w:tblPr>
      <w:tblGrid>
        <w:gridCol w:w="5866"/>
        <w:gridCol w:w="3494"/>
      </w:tblGrid>
      <w:tr w:rsidR="00664085" w14:paraId="71F43035" w14:textId="77777777" w:rsidTr="228950F6">
        <w:trPr>
          <w:trHeight w:val="625"/>
        </w:trPr>
        <w:tc>
          <w:tcPr>
            <w:tcW w:w="5866" w:type="dxa"/>
            <w:tcBorders>
              <w:left w:val="nil"/>
              <w:bottom w:val="nil"/>
              <w:right w:val="nil"/>
            </w:tcBorders>
            <w:shd w:val="clear" w:color="auto" w:fill="F8F8F8"/>
            <w:tcMar>
              <w:top w:w="58" w:type="dxa"/>
              <w:left w:w="115" w:type="dxa"/>
              <w:bottom w:w="58" w:type="dxa"/>
              <w:right w:w="115" w:type="dxa"/>
            </w:tcMar>
          </w:tcPr>
          <w:p w14:paraId="2F24846C" w14:textId="77777777" w:rsidR="00664085" w:rsidRDefault="00664085" w:rsidP="0DCEC5F2">
            <w:pPr>
              <w:pStyle w:val="TableText"/>
              <w:rPr>
                <w:b/>
                <w:sz w:val="20"/>
                <w:szCs w:val="20"/>
              </w:rPr>
            </w:pPr>
            <w:r>
              <w:rPr>
                <w:b/>
                <w:sz w:val="20"/>
                <w:szCs w:val="20"/>
              </w:rPr>
              <w:t>Description</w:t>
            </w:r>
          </w:p>
          <w:p w14:paraId="605FD9A8" w14:textId="03ED247D" w:rsidR="00664085" w:rsidRDefault="00664085" w:rsidP="00664085">
            <w:pPr>
              <w:pStyle w:val="TableText"/>
              <w:rPr>
                <w:b/>
                <w:sz w:val="20"/>
                <w:szCs w:val="20"/>
              </w:rPr>
            </w:pPr>
            <w:r w:rsidRPr="007A02E2">
              <w:t>The POS solution will support multiple terminology standards to meet clinical, administrative and health analytics pu</w:t>
            </w:r>
            <w:r>
              <w:t>rposes.</w:t>
            </w:r>
            <w:r w:rsidR="00CE2483">
              <w:t xml:space="preserve"> </w:t>
            </w:r>
          </w:p>
        </w:tc>
        <w:tc>
          <w:tcPr>
            <w:tcW w:w="3494" w:type="dxa"/>
            <w:tcBorders>
              <w:left w:val="nil"/>
              <w:bottom w:val="nil"/>
              <w:right w:val="nil"/>
            </w:tcBorders>
            <w:shd w:val="clear" w:color="auto" w:fill="F8F8F8"/>
            <w:vAlign w:val="bottom"/>
          </w:tcPr>
          <w:p w14:paraId="582DD93F" w14:textId="73360278" w:rsidR="00664085" w:rsidRDefault="00664085" w:rsidP="00664085">
            <w:pPr>
              <w:pStyle w:val="TableText"/>
              <w:spacing w:after="0"/>
              <w:rPr>
                <w:b/>
                <w:sz w:val="20"/>
                <w:szCs w:val="20"/>
              </w:rPr>
            </w:pPr>
            <w:r>
              <w:rPr>
                <w:rFonts w:ascii="Medium-65" w:hAnsi="Medium-65" w:cs="Arial"/>
                <w:noProof/>
                <w:color w:val="6D6D6D"/>
                <w:sz w:val="21"/>
                <w:szCs w:val="21"/>
              </w:rPr>
              <w:drawing>
                <wp:inline distT="0" distB="0" distL="0" distR="0" wp14:anchorId="7A09AA07" wp14:editId="5FCCD93C">
                  <wp:extent cx="427008" cy="427008"/>
                  <wp:effectExtent l="0" t="0" r="0" b="0"/>
                  <wp:docPr id="36" name="Picture 36" descr="Content Optimization Icon 1857842">
                    <a:hlinkClick xmlns:a="http://schemas.openxmlformats.org/drawingml/2006/main" r:id="rId79" tooltip="&quot;Content Optimiz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tent Optimization Icon 1857842">
                            <a:hlinkClick r:id="rId79" tooltip="&quot;Content Optimization&quot;"/>
                          </pic:cNvPr>
                          <pic:cNvPicPr>
                            <a:picLocks noChangeAspect="1" noChangeArrowheads="1"/>
                          </pic:cNvPicPr>
                        </pic:nvPicPr>
                        <pic:blipFill>
                          <a:blip r:embed="rId80" cstate="screen">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9998" cy="429998"/>
                          </a:xfrm>
                          <a:prstGeom prst="rect">
                            <a:avLst/>
                          </a:prstGeom>
                          <a:noFill/>
                          <a:ln>
                            <a:noFill/>
                          </a:ln>
                        </pic:spPr>
                      </pic:pic>
                    </a:graphicData>
                  </a:graphic>
                </wp:inline>
              </w:drawing>
            </w:r>
          </w:p>
        </w:tc>
      </w:tr>
      <w:tr w:rsidR="00664085" w14:paraId="4B33672F" w14:textId="77777777" w:rsidTr="228950F6">
        <w:tc>
          <w:tcPr>
            <w:tcW w:w="9360" w:type="dxa"/>
            <w:gridSpan w:val="2"/>
            <w:tcBorders>
              <w:top w:val="nil"/>
              <w:left w:val="nil"/>
              <w:bottom w:val="nil"/>
              <w:right w:val="nil"/>
            </w:tcBorders>
            <w:shd w:val="clear" w:color="auto" w:fill="F8F8F8"/>
            <w:tcMar>
              <w:top w:w="58" w:type="dxa"/>
              <w:left w:w="115" w:type="dxa"/>
              <w:bottom w:w="58" w:type="dxa"/>
              <w:right w:w="115" w:type="dxa"/>
            </w:tcMar>
          </w:tcPr>
          <w:p w14:paraId="23F1EA16" w14:textId="1E35A451" w:rsidR="005D4975" w:rsidRDefault="00664085" w:rsidP="0DCEC5F2">
            <w:pPr>
              <w:pStyle w:val="TableText"/>
            </w:pPr>
            <w:r w:rsidRPr="007A02E2">
              <w:t>The system capability for collecting, using, transmitting and storing terminology standards will determine how the terminology can be used. Some systems include terminology within an application; others support terminology knowledge bases with terminology data sets applied when the data is accessed. Decisions regarding terminology use should consider the purpose, the systems available to support the use, the terminology/cod</w:t>
            </w:r>
            <w:r>
              <w:t>e system rules and terminology-</w:t>
            </w:r>
            <w:r w:rsidRPr="007A02E2">
              <w:t>management guidance.</w:t>
            </w:r>
            <w:r w:rsidR="00947581">
              <w:t xml:space="preserve"> Some vendors have arrangements with another vendor to provide the terminology standards content and maintenance of the terminology standards in use in the solution. Regardless of </w:t>
            </w:r>
            <w:r w:rsidR="005E2AE0">
              <w:t xml:space="preserve">which vendor </w:t>
            </w:r>
            <w:r w:rsidR="00947581">
              <w:t>supplies the terminology standards, you want to make sure you have the opportunity to confirm what you are receiving for use in your system,</w:t>
            </w:r>
            <w:r w:rsidR="005E2AE0">
              <w:t xml:space="preserve"> whether it is licensed for use in Canada,</w:t>
            </w:r>
            <w:r w:rsidR="00947581">
              <w:t xml:space="preserve"> </w:t>
            </w:r>
            <w:r w:rsidR="006543A0">
              <w:t xml:space="preserve">how the terminology content will be applied in the solution </w:t>
            </w:r>
            <w:r w:rsidR="00947581">
              <w:t xml:space="preserve">and how it will be maintained over the lifecycle of </w:t>
            </w:r>
            <w:r w:rsidR="006543A0">
              <w:t>y</w:t>
            </w:r>
            <w:r w:rsidR="00947581">
              <w:t>our solution.</w:t>
            </w:r>
            <w:r w:rsidR="00585A8C">
              <w:t xml:space="preserve"> As systems become more sophisticated in the use of terminology standards, and with the potential for more than one vendor solution in use with terminology standards content, such as natural language processing, machine learning or augmented or artificial intelligence, there is a risk that some solutions will use terminology standards that could become out of date or have conflicting maintenance practices that compromise semantic interoperability within or across health care organizations. </w:t>
            </w:r>
          </w:p>
          <w:p w14:paraId="2D48E6B9" w14:textId="77777777" w:rsidR="006353FB" w:rsidRDefault="006353FB" w:rsidP="0DCEC5F2">
            <w:pPr>
              <w:pStyle w:val="TableText"/>
            </w:pPr>
          </w:p>
          <w:p w14:paraId="43667238" w14:textId="3AF05872" w:rsidR="006F3288" w:rsidRDefault="00054D28" w:rsidP="0DCEC5F2">
            <w:pPr>
              <w:pStyle w:val="TableText"/>
            </w:pPr>
            <w:r>
              <w:t>Maintenance practices for terminology standards are often more complex and time sensitive in contrast to other interoperability standards. Standards development organizations have established methods to process requests for terminology standards content and to manage updates to international and national terminology standards. All POS systems will require development of processes to address timely updates, and attention to detail to avoid error in definition and application of terminology standards within and across systems.</w:t>
            </w:r>
            <w:r w:rsidR="0077757F">
              <w:t xml:space="preserve"> Any terminology standards that can be leveraged from international and national standards reduce the burden of maintenance that comes with the local creation of terminology sets</w:t>
            </w:r>
            <w:r w:rsidR="00BC316F">
              <w:t xml:space="preserve">. </w:t>
            </w:r>
          </w:p>
          <w:p w14:paraId="5B6AD4C9" w14:textId="77777777" w:rsidR="006353FB" w:rsidRDefault="006353FB" w:rsidP="0DCEC5F2">
            <w:pPr>
              <w:pStyle w:val="TableText"/>
            </w:pPr>
          </w:p>
          <w:p w14:paraId="0D963D08" w14:textId="131F24B7" w:rsidR="00664085" w:rsidRDefault="00BC316F" w:rsidP="0DCEC5F2">
            <w:pPr>
              <w:pStyle w:val="TableText"/>
            </w:pPr>
            <w:r>
              <w:t>There are many terminology/value sets that have been created from the terminology standards and the more you can borrow</w:t>
            </w:r>
            <w:r w:rsidR="006F3288">
              <w:t>,</w:t>
            </w:r>
            <w:r>
              <w:t xml:space="preserve"> the easier it is to use without the added resource requirements and costs associated with developing and maintaining local terminology/value sets.</w:t>
            </w:r>
            <w:r w:rsidR="0077757F">
              <w:t xml:space="preserve"> </w:t>
            </w:r>
            <w:r>
              <w:t>All standards development organizations have a process for adding content to terminology standards and the examples below have websites where additional information can be found to assist with learning what is possible and how this applies to your particular requirements and solution.</w:t>
            </w:r>
          </w:p>
          <w:p w14:paraId="373F213D" w14:textId="77777777" w:rsidR="006543A0" w:rsidRDefault="006543A0" w:rsidP="0DCEC5F2">
            <w:pPr>
              <w:pStyle w:val="TableText"/>
            </w:pPr>
          </w:p>
          <w:p w14:paraId="1C3AB198" w14:textId="77777777" w:rsidR="006543A0" w:rsidRDefault="006543A0" w:rsidP="00DC5CD7">
            <w:pPr>
              <w:pStyle w:val="TableText"/>
            </w:pPr>
            <w:r>
              <w:t>There are many different methods</w:t>
            </w:r>
            <w:r w:rsidR="00B86ED9">
              <w:t xml:space="preserve"> available to apply terminology standards in solutions, and specifications include guidance as per the standards development and maintenance organization rules for use with the standards. With the variation in terminology standards and their application in solutions, the specifications are developed with the flexibility to support changes to the terminology standards over time. Detailed direction regarding presentation of the terminology standards</w:t>
            </w:r>
            <w:r w:rsidR="00DC5CD7">
              <w:t xml:space="preserve"> in solutions</w:t>
            </w:r>
            <w:r w:rsidR="00B86ED9">
              <w:t xml:space="preserve"> are out of scope for the specifications provided for connectivity with provincial EHR assets</w:t>
            </w:r>
            <w:r w:rsidR="00DC5CD7">
              <w:t>, since POS solutions often have their own data models and design features that must be accommodated</w:t>
            </w:r>
            <w:r w:rsidR="00B86ED9">
              <w:t xml:space="preserve">. </w:t>
            </w:r>
            <w:r w:rsidR="00DC5CD7" w:rsidRPr="00DC5CD7">
              <w:t xml:space="preserve">Some examples are included in the specifications where appropriate to support clarity, and Ontario Health </w:t>
            </w:r>
            <w:r w:rsidR="00DC5CD7">
              <w:t>will</w:t>
            </w:r>
            <w:r w:rsidR="00DC5CD7" w:rsidRPr="00DC5CD7">
              <w:t xml:space="preserve"> add additional clarity to specifications on an as needed basis.</w:t>
            </w:r>
          </w:p>
          <w:p w14:paraId="4C9B3447" w14:textId="77777777" w:rsidR="00CE2483" w:rsidRDefault="00CE2483" w:rsidP="00DC5CD7">
            <w:pPr>
              <w:pStyle w:val="TableText"/>
            </w:pPr>
          </w:p>
          <w:p w14:paraId="73B03D7A" w14:textId="29AB9BCA" w:rsidR="00CE2483" w:rsidRPr="007A02E2" w:rsidRDefault="00CE2483" w:rsidP="001A359D">
            <w:pPr>
              <w:spacing w:before="0" w:after="200" w:line="276" w:lineRule="auto"/>
              <w:contextualSpacing/>
            </w:pPr>
            <w:r w:rsidRPr="00780BAC">
              <w:rPr>
                <w:rFonts w:ascii="Calibri" w:hAnsi="Calibri"/>
                <w:spacing w:val="-2"/>
              </w:rPr>
              <w:t>Terminology standards, also known as health or clinical terminology standards</w:t>
            </w:r>
            <w:r w:rsidR="00DE143A">
              <w:rPr>
                <w:rFonts w:ascii="Calibri" w:hAnsi="Calibri"/>
                <w:spacing w:val="-2"/>
              </w:rPr>
              <w:t>,</w:t>
            </w:r>
            <w:r w:rsidRPr="00780BAC">
              <w:rPr>
                <w:rFonts w:ascii="Calibri" w:hAnsi="Calibri"/>
                <w:spacing w:val="-2"/>
              </w:rPr>
              <w:t xml:space="preserve"> are controlled vocabularies designed to be used in electronic health records and are often described as</w:t>
            </w:r>
            <w:r w:rsidR="005E2AE0">
              <w:rPr>
                <w:rFonts w:ascii="Calibri" w:hAnsi="Calibri"/>
                <w:spacing w:val="-2"/>
              </w:rPr>
              <w:t xml:space="preserve"> </w:t>
            </w:r>
            <w:r w:rsidRPr="00780BAC">
              <w:rPr>
                <w:rFonts w:ascii="Calibri" w:hAnsi="Calibri"/>
                <w:spacing w:val="-2"/>
              </w:rPr>
              <w:t>comprehensiv</w:t>
            </w:r>
            <w:r w:rsidR="005E2AE0">
              <w:rPr>
                <w:rFonts w:ascii="Calibri" w:hAnsi="Calibri"/>
                <w:spacing w:val="-2"/>
              </w:rPr>
              <w:t>e and machine</w:t>
            </w:r>
            <w:r w:rsidR="007C4164">
              <w:rPr>
                <w:rFonts w:ascii="Calibri" w:hAnsi="Calibri"/>
                <w:spacing w:val="-2"/>
              </w:rPr>
              <w:t>-</w:t>
            </w:r>
            <w:r w:rsidR="005E2AE0">
              <w:rPr>
                <w:rFonts w:ascii="Calibri" w:hAnsi="Calibri"/>
                <w:spacing w:val="-2"/>
              </w:rPr>
              <w:t xml:space="preserve">readable </w:t>
            </w:r>
            <w:r w:rsidRPr="00780BAC">
              <w:rPr>
                <w:rFonts w:ascii="Calibri" w:hAnsi="Calibri"/>
                <w:spacing w:val="-2"/>
              </w:rPr>
              <w:t xml:space="preserve">terminologies designed for clinical/health system use. These complex terminology standards (e.g. SNOMED CT and LOINC) are used to enable consistent and detailed representation of clinical information across clinical specialties and between different providers. Alternatively, </w:t>
            </w:r>
            <w:r w:rsidR="005E2AE0" w:rsidRPr="00780BAC">
              <w:rPr>
                <w:rFonts w:ascii="Calibri" w:hAnsi="Calibri"/>
                <w:spacing w:val="-2"/>
              </w:rPr>
              <w:t>health classifications systems, such as ICD-10-CA and CCI, are used for statistical aggregation of health data for morbidity and mortality reporting, utilization management and to monitor the incidence and prevalence of diseases and other health concerns</w:t>
            </w:r>
            <w:r w:rsidR="005E2AE0">
              <w:rPr>
                <w:rFonts w:ascii="Calibri" w:hAnsi="Calibri"/>
                <w:spacing w:val="-2"/>
              </w:rPr>
              <w:t>. The use of terminology standards</w:t>
            </w:r>
            <w:r w:rsidR="00B7228F">
              <w:rPr>
                <w:rFonts w:ascii="Calibri" w:hAnsi="Calibri"/>
                <w:spacing w:val="-2"/>
              </w:rPr>
              <w:t xml:space="preserve"> will continue to advance as the demand for greater access to structured data becomes more important with clinical decision support and other means of automated machine enabled capture and use of clinical data.</w:t>
            </w:r>
            <w:r w:rsidR="003B160D">
              <w:rPr>
                <w:rFonts w:ascii="Calibri" w:hAnsi="Calibri"/>
                <w:spacing w:val="-2"/>
              </w:rPr>
              <w:t xml:space="preserve"> Below is a sampling of terminology standards with limited information about their use and is not intended to provide the necessary information to assist in the selection of a terminology standard. Anyone including the terminology standards in a procurement should assess the terminology standards available for use in Canada and align the standards included in the procurement with the intended purpose, considering today and future needs where known.</w:t>
            </w:r>
          </w:p>
        </w:tc>
      </w:tr>
      <w:tr w:rsidR="008E56E4" w14:paraId="345FB8FE" w14:textId="13249C80" w:rsidTr="228950F6">
        <w:tc>
          <w:tcPr>
            <w:tcW w:w="9360" w:type="dxa"/>
            <w:gridSpan w:val="2"/>
            <w:tcBorders>
              <w:top w:val="nil"/>
              <w:left w:val="nil"/>
              <w:bottom w:val="single" w:sz="4" w:space="0" w:color="auto"/>
              <w:right w:val="nil"/>
            </w:tcBorders>
            <w:shd w:val="clear" w:color="auto" w:fill="F8F8F8"/>
            <w:tcMar>
              <w:top w:w="58" w:type="dxa"/>
              <w:left w:w="115" w:type="dxa"/>
              <w:bottom w:w="58" w:type="dxa"/>
              <w:right w:w="115" w:type="dxa"/>
            </w:tcMar>
          </w:tcPr>
          <w:p w14:paraId="5879AD3B" w14:textId="77777777" w:rsidR="008E56E4" w:rsidRPr="007A02E2" w:rsidRDefault="008E56E4" w:rsidP="0DCEC5F2">
            <w:pPr>
              <w:pStyle w:val="TableText"/>
            </w:pPr>
            <w:r w:rsidRPr="007A02E2">
              <w:t>Examples of terminology standards include:</w:t>
            </w:r>
          </w:p>
          <w:p w14:paraId="4EF793A3" w14:textId="11530239" w:rsidR="008E56E4" w:rsidRPr="00C623FF" w:rsidRDefault="00D92A6E" w:rsidP="00274867">
            <w:pPr>
              <w:pStyle w:val="TableText"/>
              <w:numPr>
                <w:ilvl w:val="0"/>
                <w:numId w:val="30"/>
              </w:numPr>
              <w:ind w:left="545" w:hanging="185"/>
              <w:rPr>
                <w:lang w:val="en-CA" w:eastAsia="en-CA"/>
              </w:rPr>
            </w:pPr>
            <w:hyperlink r:id="rId81" w:history="1">
              <w:r w:rsidR="008E56E4" w:rsidRPr="00C623FF">
                <w:rPr>
                  <w:rStyle w:val="Hyperlink"/>
                  <w:lang w:val="en-CA" w:eastAsia="en-CA"/>
                </w:rPr>
                <w:t>SNOMED</w:t>
              </w:r>
              <w:r w:rsidR="000C381E">
                <w:rPr>
                  <w:rStyle w:val="Hyperlink"/>
                  <w:lang w:val="en-CA" w:eastAsia="en-CA"/>
                </w:rPr>
                <w:t xml:space="preserve"> </w:t>
              </w:r>
              <w:r w:rsidR="008E56E4" w:rsidRPr="00C623FF">
                <w:rPr>
                  <w:rStyle w:val="Hyperlink"/>
                  <w:lang w:val="en-CA" w:eastAsia="en-CA"/>
                </w:rPr>
                <w:t>CT (Systematized Nomenclature of Medicine – Clinical Terms)</w:t>
              </w:r>
            </w:hyperlink>
            <w:r w:rsidR="00762253">
              <w:rPr>
                <w:rStyle w:val="Hyperlink"/>
                <w:lang w:val="en-CA" w:eastAsia="en-CA"/>
              </w:rPr>
              <w:t xml:space="preserve"> </w:t>
            </w:r>
            <w:r w:rsidR="00762253" w:rsidRPr="000A42BC">
              <w:t>(International clinical terms</w:t>
            </w:r>
            <w:r w:rsidR="00963C8B" w:rsidRPr="000A42BC">
              <w:t>-</w:t>
            </w:r>
            <w:r w:rsidR="00762253" w:rsidRPr="000A42BC">
              <w:t xml:space="preserve">controlled terminology standards) </w:t>
            </w:r>
            <w:r w:rsidR="008E56E4" w:rsidRPr="000A42BC">
              <w:t xml:space="preserve"> </w:t>
            </w:r>
            <w:r w:rsidR="008E56E4" w:rsidRPr="000A42BC">
              <w:br/>
            </w:r>
            <w:r w:rsidR="008E56E4" w:rsidRPr="00C623FF">
              <w:rPr>
                <w:lang w:val="en-CA" w:eastAsia="en-CA"/>
              </w:rPr>
              <w:t xml:space="preserve">(to access this page you need to create an account and log in to </w:t>
            </w:r>
            <w:hyperlink r:id="rId82" w:history="1">
              <w:r w:rsidR="008E56E4" w:rsidRPr="00C623FF">
                <w:rPr>
                  <w:lang w:eastAsia="en-CA"/>
                </w:rPr>
                <w:t>InfoCentral</w:t>
              </w:r>
            </w:hyperlink>
            <w:r w:rsidR="008E56E4" w:rsidRPr="00C623FF">
              <w:rPr>
                <w:lang w:val="en-CA" w:eastAsia="en-CA"/>
              </w:rPr>
              <w:t>)</w:t>
            </w:r>
          </w:p>
          <w:p w14:paraId="0AE7C0F0" w14:textId="02AE2400" w:rsidR="008E56E4" w:rsidRPr="000A42BC" w:rsidRDefault="00D92A6E" w:rsidP="00274867">
            <w:pPr>
              <w:pStyle w:val="TableText"/>
              <w:numPr>
                <w:ilvl w:val="0"/>
                <w:numId w:val="30"/>
              </w:numPr>
              <w:ind w:left="545" w:hanging="185"/>
            </w:pPr>
            <w:hyperlink r:id="rId83" w:history="1">
              <w:r w:rsidR="008E56E4" w:rsidRPr="00C623FF">
                <w:rPr>
                  <w:rStyle w:val="Hyperlink"/>
                  <w:lang w:val="en-CA" w:eastAsia="en-CA"/>
                </w:rPr>
                <w:t>LOINC (Logical Observation Identifiers Names and Codes)</w:t>
              </w:r>
            </w:hyperlink>
            <w:r w:rsidR="00762253">
              <w:rPr>
                <w:rStyle w:val="Hyperlink"/>
                <w:lang w:val="en-CA" w:eastAsia="en-CA"/>
              </w:rPr>
              <w:t xml:space="preserve"> </w:t>
            </w:r>
            <w:r w:rsidR="00762253" w:rsidRPr="000A42BC">
              <w:t>(International Lab and document ontology</w:t>
            </w:r>
            <w:r w:rsidR="00963C8B" w:rsidRPr="000A42BC">
              <w:t>-</w:t>
            </w:r>
            <w:r w:rsidR="00762253" w:rsidRPr="000A42BC">
              <w:t>controlled terminology standards)</w:t>
            </w:r>
          </w:p>
          <w:p w14:paraId="77E1802A" w14:textId="1AC1AE41" w:rsidR="008E56E4" w:rsidRPr="00C623FF" w:rsidRDefault="00D92A6E" w:rsidP="00274867">
            <w:pPr>
              <w:pStyle w:val="TableText"/>
              <w:numPr>
                <w:ilvl w:val="0"/>
                <w:numId w:val="30"/>
              </w:numPr>
              <w:ind w:left="545" w:hanging="185"/>
              <w:rPr>
                <w:lang w:val="en-CA" w:eastAsia="en-CA"/>
              </w:rPr>
            </w:pPr>
            <w:hyperlink r:id="rId84" w:history="1">
              <w:r w:rsidR="008E56E4" w:rsidRPr="00C623FF">
                <w:rPr>
                  <w:rStyle w:val="Hyperlink"/>
                  <w:lang w:val="en-CA" w:eastAsia="en-CA"/>
                </w:rPr>
                <w:t>pCLOCD (Pan-Canadian LOINC Observation Code Database)</w:t>
              </w:r>
            </w:hyperlink>
            <w:r w:rsidR="00762253">
              <w:rPr>
                <w:rStyle w:val="Hyperlink"/>
                <w:lang w:val="en-CA" w:eastAsia="en-CA"/>
              </w:rPr>
              <w:t xml:space="preserve"> </w:t>
            </w:r>
            <w:r w:rsidR="00762253" w:rsidRPr="000A42BC">
              <w:t xml:space="preserve">(Canadian </w:t>
            </w:r>
            <w:r w:rsidR="00CA78B6" w:rsidRPr="000A42BC">
              <w:t>l</w:t>
            </w:r>
            <w:r w:rsidR="00762253" w:rsidRPr="000A42BC">
              <w:t>ab</w:t>
            </w:r>
            <w:r w:rsidR="00CA78B6" w:rsidRPr="000A42BC">
              <w:t>-</w:t>
            </w:r>
            <w:r w:rsidR="00762253" w:rsidRPr="000A42BC">
              <w:t>controlled terminology standards)</w:t>
            </w:r>
            <w:r w:rsidR="008E56E4">
              <w:rPr>
                <w:rStyle w:val="Hyperlink"/>
                <w:lang w:val="en-CA" w:eastAsia="en-CA"/>
              </w:rPr>
              <w:br/>
            </w:r>
            <w:r w:rsidR="008E56E4" w:rsidRPr="00C623FF">
              <w:rPr>
                <w:lang w:val="en-CA" w:eastAsia="en-CA"/>
              </w:rPr>
              <w:t xml:space="preserve">(to access this page you need to create an account and log in to </w:t>
            </w:r>
            <w:hyperlink r:id="rId85" w:history="1">
              <w:r w:rsidR="008E56E4" w:rsidRPr="00C623FF">
                <w:rPr>
                  <w:lang w:eastAsia="en-CA"/>
                </w:rPr>
                <w:t>InfoCentral</w:t>
              </w:r>
            </w:hyperlink>
            <w:r w:rsidR="008E56E4" w:rsidRPr="00C623FF">
              <w:rPr>
                <w:lang w:val="en-CA" w:eastAsia="en-CA"/>
              </w:rPr>
              <w:t>)</w:t>
            </w:r>
          </w:p>
          <w:p w14:paraId="20FEC851" w14:textId="481A888E" w:rsidR="008E56E4" w:rsidRPr="000A42BC" w:rsidRDefault="008751A9" w:rsidP="00274867">
            <w:pPr>
              <w:pStyle w:val="TableText"/>
              <w:numPr>
                <w:ilvl w:val="0"/>
                <w:numId w:val="30"/>
              </w:numPr>
              <w:ind w:left="545" w:hanging="185"/>
            </w:pPr>
            <w:hyperlink r:id="rId86" w:history="1">
              <w:hyperlink r:id="rId87" w:history="1">
                <w:r w:rsidR="00BE4DE7" w:rsidRPr="00C623FF">
                  <w:rPr>
                    <w:rStyle w:val="Hyperlink"/>
                    <w:lang w:val="en-CA" w:eastAsia="en-CA"/>
                  </w:rPr>
                  <w:t xml:space="preserve">HL7 </w:t>
                </w:r>
                <w:r w:rsidR="00BE4DE7">
                  <w:rPr>
                    <w:rStyle w:val="Hyperlink"/>
                    <w:lang w:val="en-CA" w:eastAsia="en-CA"/>
                  </w:rPr>
                  <w:t xml:space="preserve">FHIR </w:t>
                </w:r>
                <w:r w:rsidR="00BE4DE7" w:rsidRPr="00C623FF">
                  <w:rPr>
                    <w:rStyle w:val="Hyperlink"/>
                    <w:lang w:val="en-CA" w:eastAsia="en-CA"/>
                  </w:rPr>
                  <w:t>Value Sets</w:t>
                </w:r>
              </w:hyperlink>
            </w:hyperlink>
            <w:r w:rsidR="00947581" w:rsidRPr="000A42BC">
              <w:t xml:space="preserve"> </w:t>
            </w:r>
            <w:r w:rsidR="00762253" w:rsidRPr="000A42BC">
              <w:t>(value sets defined for use with HL7 FHIR; includes controlled terminology standards)</w:t>
            </w:r>
          </w:p>
          <w:p w14:paraId="5D97EAFC" w14:textId="769F0D61" w:rsidR="008E56E4" w:rsidRPr="00762253" w:rsidRDefault="00BE4DE7" w:rsidP="00762253">
            <w:pPr>
              <w:pStyle w:val="TableText"/>
              <w:numPr>
                <w:ilvl w:val="0"/>
                <w:numId w:val="30"/>
              </w:numPr>
              <w:ind w:left="545" w:hanging="185"/>
              <w:rPr>
                <w:lang w:val="en-CA" w:eastAsia="en-CA"/>
              </w:rPr>
            </w:pPr>
            <w:hyperlink r:id="rId88" w:history="1">
              <w:r w:rsidRPr="00350458">
                <w:rPr>
                  <w:rStyle w:val="Hyperlink"/>
                  <w:lang w:eastAsia="en-CA"/>
                </w:rPr>
                <w:t>Pan-Canadian Terminology Subsets</w:t>
              </w:r>
            </w:hyperlink>
            <w:r w:rsidR="008E56E4" w:rsidRPr="000A42BC">
              <w:rPr>
                <w:lang w:val="en-CA"/>
              </w:rPr>
              <w:t xml:space="preserve"> </w:t>
            </w:r>
            <w:r w:rsidR="00762253" w:rsidRPr="000A42BC">
              <w:rPr>
                <w:lang w:val="en-CA"/>
              </w:rPr>
              <w:t>(CHI terminology sets published based on Canadian needs; includes controlled terminology standards based on international terminology standards) –</w:t>
            </w:r>
            <w:r w:rsidR="00762253" w:rsidRPr="000A42BC">
              <w:t xml:space="preserve"> </w:t>
            </w:r>
            <w:r w:rsidR="008E56E4" w:rsidRPr="000A42BC">
              <w:rPr>
                <w:lang w:val="en-CA"/>
              </w:rPr>
              <w:t>(to access this page you need to create an account and log into Info</w:t>
            </w:r>
            <w:r w:rsidR="00A528D0" w:rsidRPr="000A42BC">
              <w:rPr>
                <w:lang w:val="en-CA"/>
              </w:rPr>
              <w:t>C</w:t>
            </w:r>
            <w:r w:rsidR="008E56E4" w:rsidRPr="000A42BC">
              <w:rPr>
                <w:lang w:val="en-CA"/>
              </w:rPr>
              <w:t>entral and accept the terms of use of standards under CHI licensing agreements)</w:t>
            </w:r>
          </w:p>
          <w:p w14:paraId="281EA648" w14:textId="6EAA0923" w:rsidR="008E56E4" w:rsidRPr="000A42BC" w:rsidRDefault="00BE4DE7" w:rsidP="00274867">
            <w:pPr>
              <w:pStyle w:val="TableText"/>
              <w:numPr>
                <w:ilvl w:val="0"/>
                <w:numId w:val="30"/>
              </w:numPr>
              <w:ind w:left="545" w:hanging="185"/>
            </w:pPr>
            <w:hyperlink r:id="rId89" w:history="1">
              <w:r w:rsidRPr="00C623FF">
                <w:rPr>
                  <w:rStyle w:val="Hyperlink"/>
                  <w:lang w:val="en-CA" w:eastAsia="en-CA"/>
                </w:rPr>
                <w:t>ICD-10-CA (International Statistical Classification of Diseases and Related Health Problems, 10th Revision – Canadian Enhancement)</w:t>
              </w:r>
            </w:hyperlink>
            <w:r w:rsidR="008E56E4" w:rsidRPr="000A42BC">
              <w:t xml:space="preserve"> (requires licensing under CIHI)</w:t>
            </w:r>
            <w:r w:rsidR="00762253" w:rsidRPr="000A42BC">
              <w:t xml:space="preserve"> (International </w:t>
            </w:r>
            <w:r w:rsidR="003B160D" w:rsidRPr="000A42BC">
              <w:t>clinical disease classification system with Canadian extensions)</w:t>
            </w:r>
          </w:p>
          <w:p w14:paraId="3ADDDEBD" w14:textId="2F5F8E54" w:rsidR="008E56E4" w:rsidRPr="000A42BC" w:rsidRDefault="00BE4DE7" w:rsidP="00274867">
            <w:pPr>
              <w:pStyle w:val="TableText"/>
              <w:numPr>
                <w:ilvl w:val="0"/>
                <w:numId w:val="30"/>
              </w:numPr>
              <w:ind w:left="545" w:hanging="185"/>
            </w:pPr>
            <w:hyperlink r:id="rId90" w:history="1">
              <w:r w:rsidRPr="00C623FF">
                <w:rPr>
                  <w:rStyle w:val="Hyperlink"/>
                  <w:lang w:val="en-CA" w:eastAsia="en-CA"/>
                </w:rPr>
                <w:t>CCI (Canadian Classification of Health Interventions</w:t>
              </w:r>
            </w:hyperlink>
            <w:r>
              <w:t>)</w:t>
            </w:r>
            <w:r w:rsidR="008E56E4" w:rsidRPr="000A42BC">
              <w:t xml:space="preserve"> (requires licensing under CIHI)</w:t>
            </w:r>
            <w:r w:rsidR="003B160D" w:rsidRPr="000A42BC">
              <w:t xml:space="preserve"> (International clinical intervention classification system with Canadian extensions)</w:t>
            </w:r>
          </w:p>
          <w:p w14:paraId="7E949F95" w14:textId="3C363164" w:rsidR="008E56E4" w:rsidRPr="00A145EF" w:rsidRDefault="008E56E4" w:rsidP="00947581">
            <w:pPr>
              <w:pStyle w:val="TableText"/>
              <w:spacing w:before="120"/>
              <w:rPr>
                <w:b/>
                <w:sz w:val="20"/>
                <w:szCs w:val="20"/>
              </w:rPr>
            </w:pPr>
            <w:r w:rsidRPr="007A02E2">
              <w:t xml:space="preserve">Terminology standards and terminology </w:t>
            </w:r>
            <w:r>
              <w:t xml:space="preserve">value </w:t>
            </w:r>
            <w:r w:rsidRPr="007A02E2">
              <w:t xml:space="preserve">sets/subsets will continue to evolve and be released by </w:t>
            </w:r>
            <w:r w:rsidR="00A528D0">
              <w:t>Ontario Health</w:t>
            </w:r>
            <w:r w:rsidR="00A528D0" w:rsidRPr="007A02E2">
              <w:t xml:space="preserve"> </w:t>
            </w:r>
            <w:r w:rsidRPr="007A02E2">
              <w:t>and other standards</w:t>
            </w:r>
            <w:r>
              <w:t>-</w:t>
            </w:r>
            <w:r w:rsidRPr="007A02E2">
              <w:t xml:space="preserve">development and supporting organizations. </w:t>
            </w:r>
            <w:r w:rsidR="00BD1B55">
              <w:t xml:space="preserve">Ontario Health </w:t>
            </w:r>
            <w:r w:rsidRPr="007A02E2">
              <w:t xml:space="preserve">advises vendors and others participating in procurements to monitor the above websites for the most current version and related relevant historical versions to support current and historical analytics and use of the terminology standards, including information related to licensing and terms of use. The terminology </w:t>
            </w:r>
            <w:r>
              <w:t>value sets/subsets</w:t>
            </w:r>
            <w:r w:rsidRPr="007A02E2">
              <w:t xml:space="preserve"> and associated implementation guidance included in our published standards address terminology</w:t>
            </w:r>
            <w:r>
              <w:t>-</w:t>
            </w:r>
            <w:r w:rsidRPr="007A02E2">
              <w:t xml:space="preserve">specific guidance, and </w:t>
            </w:r>
            <w:r w:rsidR="00947581">
              <w:t xml:space="preserve">there </w:t>
            </w:r>
            <w:r w:rsidRPr="007A02E2">
              <w:t>may be another source of more specific information to use in demonstration, testing or validation of systems</w:t>
            </w:r>
            <w:r>
              <w:t>’</w:t>
            </w:r>
            <w:r w:rsidRPr="007A02E2">
              <w:t xml:space="preserve"> use of terminology. </w:t>
            </w:r>
            <w:r w:rsidR="00D007DF">
              <w:t>Ontario Health</w:t>
            </w:r>
            <w:r w:rsidR="00D007DF" w:rsidRPr="007A02E2">
              <w:t xml:space="preserve"> </w:t>
            </w:r>
            <w:r w:rsidRPr="007A02E2">
              <w:t>uses international and national standards, and monitors the standards development and implementation activities for improved practices</w:t>
            </w:r>
            <w:r w:rsidR="00947581">
              <w:t>, terminology harmonization</w:t>
            </w:r>
            <w:r w:rsidRPr="007A02E2">
              <w:t xml:space="preserve"> and opportunities to advance balanced standardizatio</w:t>
            </w:r>
            <w:r w:rsidR="00CB0A43">
              <w:t>n, while supporting innovation.</w:t>
            </w:r>
          </w:p>
        </w:tc>
      </w:tr>
      <w:tr w:rsidR="00AC13D8" w14:paraId="5E78C92A" w14:textId="221DD102" w:rsidTr="228950F6">
        <w:trPr>
          <w:cantSplit/>
        </w:trPr>
        <w:tc>
          <w:tcPr>
            <w:tcW w:w="9360" w:type="dxa"/>
            <w:gridSpan w:val="2"/>
            <w:tcBorders>
              <w:top w:val="single" w:sz="4" w:space="0" w:color="auto"/>
              <w:left w:val="nil"/>
              <w:right w:val="nil"/>
            </w:tcBorders>
            <w:tcMar>
              <w:top w:w="58" w:type="dxa"/>
              <w:left w:w="115" w:type="dxa"/>
              <w:bottom w:w="58" w:type="dxa"/>
              <w:right w:w="115" w:type="dxa"/>
            </w:tcMar>
          </w:tcPr>
          <w:p w14:paraId="4CD07AD1" w14:textId="6D1853B3" w:rsidR="00AC13D8" w:rsidRPr="00A145EF" w:rsidRDefault="00AC13D8" w:rsidP="0DCEC5F2">
            <w:pPr>
              <w:pStyle w:val="TableText"/>
              <w:rPr>
                <w:b/>
                <w:sz w:val="20"/>
                <w:szCs w:val="20"/>
              </w:rPr>
            </w:pPr>
            <w:r w:rsidRPr="00A145EF">
              <w:rPr>
                <w:b/>
                <w:sz w:val="20"/>
                <w:szCs w:val="20"/>
              </w:rPr>
              <w:t xml:space="preserve">Expected Response </w:t>
            </w:r>
            <w:r w:rsidR="00AA1682">
              <w:rPr>
                <w:b/>
                <w:sz w:val="20"/>
                <w:szCs w:val="20"/>
              </w:rPr>
              <w:t>f</w:t>
            </w:r>
            <w:r w:rsidRPr="00A145EF">
              <w:rPr>
                <w:b/>
                <w:sz w:val="20"/>
                <w:szCs w:val="20"/>
              </w:rPr>
              <w:t>rom Vendor</w:t>
            </w:r>
          </w:p>
          <w:p w14:paraId="75048195" w14:textId="2EA87D91" w:rsidR="00AC13D8" w:rsidRPr="007A02E2" w:rsidRDefault="00AC13D8" w:rsidP="0DCEC5F2">
            <w:pPr>
              <w:pStyle w:val="TableText"/>
            </w:pPr>
            <w:r w:rsidRPr="007A02E2">
              <w:t xml:space="preserve">Preference will be given to responses that demonstrate previous experience implementing terminology standards in the system and within data exchange (e.g. HL7 messages), as well as those that demonstrate alignment and use of the standards, </w:t>
            </w:r>
            <w:r w:rsidR="005A0310">
              <w:t xml:space="preserve">processes to </w:t>
            </w:r>
            <w:r w:rsidR="00A66014">
              <w:t xml:space="preserve">implement, </w:t>
            </w:r>
            <w:r w:rsidR="005A0310">
              <w:t xml:space="preserve">maintain and support the use of multiple terminology sets, </w:t>
            </w:r>
            <w:r w:rsidR="00A66014">
              <w:t xml:space="preserve">terminology supporting applications and clinical knowledge bases </w:t>
            </w:r>
            <w:r w:rsidRPr="007A02E2">
              <w:t>and to vendors with appropriate me</w:t>
            </w:r>
            <w:r>
              <w:t>mbership/adherence to the terms-of-</w:t>
            </w:r>
            <w:r w:rsidRPr="007A02E2">
              <w:t>use agreements/licensing expectations for the specific terminologies</w:t>
            </w:r>
            <w:r>
              <w:t>. F</w:t>
            </w:r>
            <w:r w:rsidRPr="007A02E2">
              <w:t>or example:</w:t>
            </w:r>
          </w:p>
          <w:p w14:paraId="48EC3347" w14:textId="77777777" w:rsidR="00AC13D8" w:rsidRPr="007A02E2" w:rsidRDefault="00AC13D8" w:rsidP="00274867">
            <w:pPr>
              <w:pStyle w:val="TableText"/>
              <w:numPr>
                <w:ilvl w:val="0"/>
                <w:numId w:val="30"/>
              </w:numPr>
              <w:ind w:left="545" w:hanging="185"/>
            </w:pPr>
            <w:r w:rsidRPr="007A02E2">
              <w:t xml:space="preserve">Infoway: </w:t>
            </w:r>
            <w:r w:rsidRPr="00C623FF">
              <w:rPr>
                <w:lang w:val="en-CA" w:eastAsia="en-CA"/>
              </w:rPr>
              <w:t>Standards</w:t>
            </w:r>
            <w:r w:rsidRPr="007A02E2">
              <w:t xml:space="preserve"> Access:</w:t>
            </w:r>
          </w:p>
          <w:p w14:paraId="28781844" w14:textId="77777777" w:rsidR="00AC13D8" w:rsidRPr="007A02E2" w:rsidRDefault="00D92A6E" w:rsidP="00274867">
            <w:pPr>
              <w:pStyle w:val="TableText"/>
              <w:numPr>
                <w:ilvl w:val="1"/>
                <w:numId w:val="30"/>
              </w:numPr>
              <w:ind w:left="968" w:hanging="248"/>
              <w:rPr>
                <w:u w:val="single"/>
              </w:rPr>
            </w:pPr>
            <w:hyperlink r:id="rId91" w:history="1">
              <w:r w:rsidR="00AC13D8" w:rsidRPr="007A02E2">
                <w:rPr>
                  <w:rStyle w:val="Hyperlink"/>
                </w:rPr>
                <w:t>https://infocentral.infoway-inforoute.ca/en/standards/standards-access</w:t>
              </w:r>
            </w:hyperlink>
          </w:p>
          <w:p w14:paraId="2247AAA4" w14:textId="77777777" w:rsidR="00AC13D8" w:rsidRDefault="00AC13D8" w:rsidP="00274867">
            <w:pPr>
              <w:pStyle w:val="TableText"/>
              <w:numPr>
                <w:ilvl w:val="0"/>
                <w:numId w:val="30"/>
              </w:numPr>
              <w:spacing w:before="80"/>
              <w:ind w:left="547" w:hanging="187"/>
            </w:pPr>
            <w:r w:rsidRPr="007A02E2">
              <w:t xml:space="preserve">Infoway: HL7 </w:t>
            </w:r>
            <w:r w:rsidRPr="00C623FF">
              <w:rPr>
                <w:lang w:val="en-CA" w:eastAsia="en-CA"/>
              </w:rPr>
              <w:t>International</w:t>
            </w:r>
            <w:r w:rsidRPr="007A02E2">
              <w:t xml:space="preserve"> Access as per applicable license requirements: </w:t>
            </w:r>
          </w:p>
          <w:p w14:paraId="75AC97E4" w14:textId="77777777" w:rsidR="00AC13D8" w:rsidRPr="00AC13D8" w:rsidRDefault="00D92A6E" w:rsidP="00AC13D8">
            <w:pPr>
              <w:pStyle w:val="TableText"/>
              <w:numPr>
                <w:ilvl w:val="1"/>
                <w:numId w:val="30"/>
              </w:numPr>
              <w:ind w:left="977" w:hanging="243"/>
              <w:rPr>
                <w:b/>
                <w:sz w:val="20"/>
                <w:szCs w:val="20"/>
              </w:rPr>
            </w:pPr>
            <w:hyperlink r:id="rId92" w:history="1">
              <w:r w:rsidR="00AC13D8" w:rsidRPr="007A02E2">
                <w:rPr>
                  <w:rStyle w:val="Hyperlink"/>
                </w:rPr>
                <w:t>https://infocentral.infoway-inforoute.ca/en/standards/standards-access</w:t>
              </w:r>
            </w:hyperlink>
            <w:r w:rsidR="00AC13D8" w:rsidRPr="007A02E2">
              <w:t xml:space="preserve"> </w:t>
            </w:r>
          </w:p>
          <w:p w14:paraId="6CE7EB67" w14:textId="07C11DA8" w:rsidR="00AC13D8" w:rsidRPr="00A145EF" w:rsidRDefault="00204B52" w:rsidP="00AC13D8">
            <w:pPr>
              <w:pStyle w:val="TableText"/>
              <w:numPr>
                <w:ilvl w:val="1"/>
                <w:numId w:val="30"/>
              </w:numPr>
              <w:ind w:left="977" w:hanging="243"/>
              <w:rPr>
                <w:b/>
                <w:sz w:val="20"/>
                <w:szCs w:val="20"/>
              </w:rPr>
            </w:pPr>
            <w:r w:rsidRPr="000A42BC">
              <w:t>Canadian Institute for Health Information recognized vendor</w:t>
            </w:r>
          </w:p>
        </w:tc>
      </w:tr>
      <w:tr w:rsidR="00AC13D8" w14:paraId="213C51C0" w14:textId="4ABFB87E" w:rsidTr="228950F6">
        <w:tc>
          <w:tcPr>
            <w:tcW w:w="9360" w:type="dxa"/>
            <w:gridSpan w:val="2"/>
            <w:tcBorders>
              <w:left w:val="nil"/>
              <w:right w:val="nil"/>
            </w:tcBorders>
            <w:shd w:val="clear" w:color="auto" w:fill="F8F8F8"/>
            <w:tcMar>
              <w:top w:w="58" w:type="dxa"/>
              <w:left w:w="115" w:type="dxa"/>
              <w:bottom w:w="58" w:type="dxa"/>
              <w:right w:w="115" w:type="dxa"/>
            </w:tcMar>
          </w:tcPr>
          <w:p w14:paraId="575CC1C2" w14:textId="77777777" w:rsidR="00AC13D8" w:rsidRPr="00A145EF" w:rsidRDefault="00AC13D8" w:rsidP="00EF650F">
            <w:pPr>
              <w:pStyle w:val="TableText"/>
              <w:rPr>
                <w:b/>
                <w:sz w:val="20"/>
                <w:szCs w:val="20"/>
                <w:lang w:val="en-CA" w:eastAsia="en-CA"/>
              </w:rPr>
            </w:pPr>
            <w:r w:rsidRPr="00A145EF">
              <w:rPr>
                <w:b/>
                <w:sz w:val="20"/>
                <w:szCs w:val="20"/>
                <w:lang w:val="en-CA" w:eastAsia="en-CA"/>
              </w:rPr>
              <w:t>Rationale</w:t>
            </w:r>
          </w:p>
          <w:p w14:paraId="38158514" w14:textId="3121A127" w:rsidR="00AC13D8" w:rsidRPr="00A145EF" w:rsidRDefault="00AC13D8" w:rsidP="00EF650F">
            <w:pPr>
              <w:pStyle w:val="TableText"/>
              <w:rPr>
                <w:b/>
                <w:sz w:val="20"/>
                <w:szCs w:val="20"/>
                <w:lang w:val="en-CA" w:eastAsia="en-CA"/>
              </w:rPr>
            </w:pPr>
            <w:r w:rsidRPr="00C623FF">
              <w:rPr>
                <w:lang w:val="en-CA" w:eastAsia="en-CA"/>
              </w:rPr>
              <w:t>Making use of commonly used terminology standards</w:t>
            </w:r>
            <w:r w:rsidR="00B7228F">
              <w:rPr>
                <w:lang w:val="en-CA" w:eastAsia="en-CA"/>
              </w:rPr>
              <w:t xml:space="preserve"> originating from international and national standards development and maintenance organizations</w:t>
            </w:r>
            <w:r w:rsidRPr="00C623FF">
              <w:rPr>
                <w:lang w:val="en-CA" w:eastAsia="en-CA"/>
              </w:rPr>
              <w:t xml:space="preserve"> greatly increases the opportunity to interoperate with other EHR systems,</w:t>
            </w:r>
            <w:r w:rsidR="00B7228F">
              <w:rPr>
                <w:lang w:val="en-CA" w:eastAsia="en-CA"/>
              </w:rPr>
              <w:t xml:space="preserve"> lowers the cost of development and maintenance compared to local</w:t>
            </w:r>
            <w:r w:rsidR="00054D28">
              <w:rPr>
                <w:lang w:val="en-CA" w:eastAsia="en-CA"/>
              </w:rPr>
              <w:t xml:space="preserve"> terminology sets</w:t>
            </w:r>
            <w:r w:rsidR="00A62328">
              <w:rPr>
                <w:lang w:val="en-CA" w:eastAsia="en-CA"/>
              </w:rPr>
              <w:t xml:space="preserve"> and ensures</w:t>
            </w:r>
            <w:r w:rsidRPr="00C623FF">
              <w:rPr>
                <w:lang w:val="en-CA" w:eastAsia="en-CA"/>
              </w:rPr>
              <w:t xml:space="preserve"> both integration and sema</w:t>
            </w:r>
            <w:r>
              <w:rPr>
                <w:lang w:val="en-CA" w:eastAsia="en-CA"/>
              </w:rPr>
              <w:t>n</w:t>
            </w:r>
            <w:r w:rsidRPr="00C623FF">
              <w:rPr>
                <w:lang w:val="en-CA" w:eastAsia="en-CA"/>
              </w:rPr>
              <w:t>tic interoperability amongst participating systems.</w:t>
            </w:r>
          </w:p>
        </w:tc>
      </w:tr>
    </w:tbl>
    <w:p w14:paraId="265E3A95" w14:textId="7C3911AE" w:rsidR="00516CC2" w:rsidDel="00994D49" w:rsidRDefault="00516CC2" w:rsidP="00876F92">
      <w:pPr>
        <w:pStyle w:val="Heading2"/>
      </w:pPr>
      <w:bookmarkStart w:id="76" w:name="_Toc54611013"/>
      <w:bookmarkStart w:id="77" w:name="_Ref37162616"/>
      <w:r w:rsidDel="00994D49">
        <w:t>Deprecated Standards</w:t>
      </w:r>
      <w:bookmarkEnd w:id="76"/>
    </w:p>
    <w:p w14:paraId="6D6D1F3D" w14:textId="2D3916A0" w:rsidR="008D7089" w:rsidRDefault="008D7089" w:rsidP="008D7089">
      <w:pPr>
        <w:pStyle w:val="Body"/>
      </w:pPr>
      <w:r w:rsidRPr="008D7089">
        <w:t xml:space="preserve">Ontario has deprecated its existing HL7 V3 interfaces, which are only used by a small portion of the health care community. The use of HL7 V3 within Ontario is not encouraged. </w:t>
      </w:r>
      <w:r w:rsidR="00D16CD1">
        <w:t>Ontario Health</w:t>
      </w:r>
      <w:r w:rsidR="00D16CD1" w:rsidRPr="008D7089">
        <w:t xml:space="preserve"> </w:t>
      </w:r>
      <w:r w:rsidRPr="008D7089">
        <w:t xml:space="preserve">will continue to support our partners using this protocol and will be providing a migration plan for moving implementations to HL7 FHIR. Ontario Health is actively developing FHIR-based APIs that offer the same functionality as HL7 V3 interfaces. In 2012, the Infoway </w:t>
      </w:r>
      <w:r w:rsidR="00A83B8B">
        <w:t>I</w:t>
      </w:r>
      <w:r w:rsidRPr="008D7089">
        <w:t>nfoCentral community released the Pan-Canadian HL7 v3 messaging standard.</w:t>
      </w:r>
      <w:r w:rsidRPr="008D7089">
        <w:rPr>
          <w:rStyle w:val="EndnoteReference"/>
        </w:rPr>
        <w:endnoteReference w:customMarkFollows="1" w:id="2"/>
        <w:t>[i]</w:t>
      </w:r>
      <w:r w:rsidRPr="008D7089">
        <w:t xml:space="preserve"> In November 2017, the Canadian HL7 InfoCentral community determined that no further updates were required to Pan-Canadian HL7 v3 messages. MR02.06.01 and CeRx 4.4.2 (released in December 2012) are therefore the latest Pan-Canadian publications of these messages.</w:t>
      </w:r>
      <w:r w:rsidRPr="008D7089">
        <w:rPr>
          <w:rStyle w:val="EndnoteReference"/>
        </w:rPr>
        <w:endnoteReference w:customMarkFollows="1" w:id="3"/>
        <w:t>[ii]</w:t>
      </w:r>
      <w:r w:rsidRPr="008D7089">
        <w:t> In reality, the standard has not been well adopted and where it has been, various non-interoperable versions emerged.</w:t>
      </w:r>
    </w:p>
    <w:p w14:paraId="54846F38" w14:textId="11E67EBB" w:rsidR="0B0BAE83" w:rsidRDefault="0B0BAE83" w:rsidP="0B0BAE83">
      <w:pPr>
        <w:pStyle w:val="Body"/>
      </w:pPr>
    </w:p>
    <w:p w14:paraId="7883F154" w14:textId="6500A462" w:rsidR="31AF1235" w:rsidRPr="00893E46" w:rsidRDefault="31AF1235" w:rsidP="2D80A2B8">
      <w:pPr>
        <w:pStyle w:val="Body"/>
      </w:pPr>
      <w:r w:rsidRPr="00893E46">
        <w:rPr>
          <w:rFonts w:eastAsiaTheme="majorEastAsia" w:cstheme="majorBidi"/>
          <w:b/>
          <w:bCs/>
          <w:color w:val="000000" w:themeColor="text1"/>
          <w:sz w:val="32"/>
          <w:szCs w:val="32"/>
          <w:lang w:eastAsia="en-CA"/>
        </w:rPr>
        <w:t>Glossary</w:t>
      </w:r>
    </w:p>
    <w:tbl>
      <w:tblPr>
        <w:tblStyle w:val="TableGrid"/>
        <w:tblW w:w="0" w:type="auto"/>
        <w:tblLayout w:type="fixed"/>
        <w:tblLook w:val="04A0" w:firstRow="1" w:lastRow="0" w:firstColumn="1" w:lastColumn="0" w:noHBand="0" w:noVBand="1"/>
      </w:tblPr>
      <w:tblGrid>
        <w:gridCol w:w="1980"/>
        <w:gridCol w:w="4680"/>
        <w:gridCol w:w="2700"/>
      </w:tblGrid>
      <w:tr w:rsidR="2D80A2B8" w14:paraId="72EFEF11" w14:textId="77777777" w:rsidTr="00A704AB">
        <w:tc>
          <w:tcPr>
            <w:tcW w:w="1980" w:type="dxa"/>
            <w:tcBorders>
              <w:top w:val="nil"/>
              <w:left w:val="nil"/>
              <w:bottom w:val="single" w:sz="18" w:space="0" w:color="7F7F7F" w:themeColor="text1" w:themeTint="80"/>
              <w:right w:val="nil"/>
            </w:tcBorders>
          </w:tcPr>
          <w:p w14:paraId="67C1D235" w14:textId="66813317" w:rsidR="2D80A2B8" w:rsidRDefault="2D80A2B8" w:rsidP="002E0AAB">
            <w:r w:rsidRPr="75B4E743">
              <w:rPr>
                <w:rFonts w:ascii="Calibri" w:eastAsia="Calibri" w:hAnsi="Calibri" w:cs="Calibri"/>
                <w:b/>
              </w:rPr>
              <w:t>Interoperability</w:t>
            </w:r>
          </w:p>
          <w:p w14:paraId="3A310904" w14:textId="5FCA7539" w:rsidR="2D80A2B8" w:rsidRDefault="2D80A2B8" w:rsidP="00BE0262">
            <w:pPr>
              <w:rPr>
                <w:rFonts w:ascii="Calibri" w:eastAsia="Calibri" w:hAnsi="Calibri" w:cs="Calibri"/>
                <w:b/>
                <w:bCs/>
              </w:rPr>
            </w:pPr>
          </w:p>
          <w:p w14:paraId="7478B9B8" w14:textId="649E2F06" w:rsidR="2D80A2B8" w:rsidRDefault="2D80A2B8" w:rsidP="00FC2DBD">
            <w:pPr>
              <w:rPr>
                <w:rFonts w:ascii="Calibri" w:eastAsia="Calibri" w:hAnsi="Calibri" w:cs="Calibri"/>
                <w:b/>
                <w:bCs/>
              </w:rPr>
            </w:pPr>
          </w:p>
          <w:p w14:paraId="57113C4A" w14:textId="60E6E42D" w:rsidR="2D80A2B8" w:rsidRDefault="2D80A2B8" w:rsidP="00124D58">
            <w:pPr>
              <w:rPr>
                <w:rFonts w:ascii="Calibri" w:eastAsia="Calibri" w:hAnsi="Calibri" w:cs="Calibri"/>
                <w:b/>
                <w:bCs/>
              </w:rPr>
            </w:pPr>
          </w:p>
          <w:p w14:paraId="59D28629" w14:textId="3E8CC007" w:rsidR="2D80A2B8" w:rsidRDefault="2D80A2B8" w:rsidP="00124D58">
            <w:pPr>
              <w:rPr>
                <w:rFonts w:ascii="Calibri" w:eastAsia="Calibri" w:hAnsi="Calibri" w:cs="Calibri"/>
                <w:b/>
                <w:bCs/>
              </w:rPr>
            </w:pPr>
          </w:p>
          <w:p w14:paraId="0E63A8F2" w14:textId="46BD1760" w:rsidR="2D80A2B8" w:rsidRDefault="2D80A2B8">
            <w:pPr>
              <w:rPr>
                <w:rFonts w:ascii="Calibri" w:eastAsia="Calibri" w:hAnsi="Calibri" w:cs="Calibri"/>
                <w:b/>
                <w:bCs/>
              </w:rPr>
            </w:pPr>
          </w:p>
          <w:p w14:paraId="0682B1AD" w14:textId="29C9DA4A" w:rsidR="2D80A2B8" w:rsidRDefault="043C27B3">
            <w:pPr>
              <w:rPr>
                <w:rFonts w:ascii="Calibri" w:eastAsia="Calibri" w:hAnsi="Calibri" w:cs="Calibri"/>
                <w:b/>
              </w:rPr>
            </w:pPr>
            <w:r w:rsidRPr="75B4E743">
              <w:rPr>
                <w:rFonts w:ascii="Calibri" w:eastAsia="Calibri" w:hAnsi="Calibri" w:cs="Calibri"/>
                <w:b/>
                <w:bCs/>
              </w:rPr>
              <w:t>Health Care Provider</w:t>
            </w:r>
          </w:p>
        </w:tc>
        <w:tc>
          <w:tcPr>
            <w:tcW w:w="4680" w:type="dxa"/>
            <w:tcBorders>
              <w:top w:val="nil"/>
              <w:left w:val="nil"/>
              <w:bottom w:val="single" w:sz="18" w:space="0" w:color="7F7F7F" w:themeColor="text1" w:themeTint="80"/>
              <w:right w:val="nil"/>
            </w:tcBorders>
          </w:tcPr>
          <w:p w14:paraId="36A85EB0" w14:textId="47F6F33B" w:rsidR="2D80A2B8" w:rsidRPr="001A44B9" w:rsidRDefault="2D80A2B8">
            <w:pPr>
              <w:rPr>
                <w:rFonts w:ascii="Calibri" w:eastAsia="Calibri" w:hAnsi="Calibri" w:cs="Calibri"/>
                <w:b/>
              </w:rPr>
            </w:pPr>
            <w:r w:rsidRPr="747599A5">
              <w:rPr>
                <w:rFonts w:ascii="Calibri" w:eastAsia="Calibri" w:hAnsi="Calibri" w:cs="Calibri"/>
                <w:b/>
              </w:rPr>
              <w:t>The ability of different health information systems, devices and applications to access, exchange, integrate and cooperatively use data in a coordinated manner, within and across organizational and regional boundaries to provide timely and seamless portability of information and optimize the health of individuals and populations globally.</w:t>
            </w:r>
          </w:p>
          <w:p w14:paraId="11596A68" w14:textId="77777777" w:rsidR="001548CD" w:rsidRDefault="001548CD" w:rsidP="00893E46">
            <w:pPr>
              <w:pStyle w:val="Body"/>
              <w:rPr>
                <w:rFonts w:eastAsia="Calibri" w:cs="Calibri"/>
                <w:b/>
                <w:sz w:val="18"/>
              </w:rPr>
            </w:pPr>
          </w:p>
          <w:p w14:paraId="31A13174" w14:textId="508820A6" w:rsidR="2D80A2B8" w:rsidRPr="001A44B9" w:rsidRDefault="4849B87C" w:rsidP="00893E46">
            <w:pPr>
              <w:pStyle w:val="Body"/>
              <w:rPr>
                <w:rFonts w:eastAsia="Calibri" w:cs="Calibri"/>
                <w:b/>
              </w:rPr>
            </w:pPr>
            <w:r w:rsidRPr="001A44B9">
              <w:rPr>
                <w:rFonts w:eastAsia="Calibri" w:cs="Calibri"/>
                <w:b/>
                <w:sz w:val="18"/>
              </w:rPr>
              <w:t>A person or an organization that provides health care or other health-related services or products.</w:t>
            </w:r>
          </w:p>
          <w:p w14:paraId="7C08E11F" w14:textId="63F1CF96" w:rsidR="2D80A2B8" w:rsidRDefault="2D80A2B8">
            <w:pPr>
              <w:rPr>
                <w:rFonts w:ascii="Calibri" w:eastAsia="Calibri" w:hAnsi="Calibri" w:cs="Calibri"/>
                <w:b/>
              </w:rPr>
            </w:pPr>
          </w:p>
        </w:tc>
        <w:tc>
          <w:tcPr>
            <w:tcW w:w="2700" w:type="dxa"/>
            <w:tcBorders>
              <w:top w:val="nil"/>
              <w:left w:val="nil"/>
              <w:bottom w:val="single" w:sz="18" w:space="0" w:color="7F7F7F" w:themeColor="text1" w:themeTint="80"/>
              <w:right w:val="nil"/>
            </w:tcBorders>
          </w:tcPr>
          <w:p w14:paraId="092BCEAA" w14:textId="7522848F" w:rsidR="2D80A2B8" w:rsidRDefault="00D92A6E">
            <w:hyperlink r:id="rId93" w:history="1">
              <w:r w:rsidR="2D80A2B8" w:rsidRPr="75B4E743">
                <w:rPr>
                  <w:rStyle w:val="Hyperlink"/>
                  <w:rFonts w:ascii="Calibri" w:eastAsia="Calibri" w:hAnsi="Calibri" w:cs="Calibri"/>
                  <w:b/>
                </w:rPr>
                <w:t>https://www.himss.org/what-interoperability</w:t>
              </w:r>
            </w:hyperlink>
          </w:p>
          <w:p w14:paraId="17EAEF23" w14:textId="2B1D4C85" w:rsidR="2D80A2B8" w:rsidRDefault="2D80A2B8" w:rsidP="75B4E743">
            <w:pPr>
              <w:rPr>
                <w:rStyle w:val="Hyperlink"/>
                <w:rFonts w:ascii="Calibri" w:eastAsia="Calibri" w:hAnsi="Calibri" w:cs="Calibri"/>
                <w:b/>
                <w:bCs/>
              </w:rPr>
            </w:pPr>
          </w:p>
          <w:p w14:paraId="39E61BD1" w14:textId="1DA3B9A6" w:rsidR="2D80A2B8" w:rsidRDefault="2D80A2B8" w:rsidP="75B4E743">
            <w:pPr>
              <w:rPr>
                <w:rStyle w:val="Hyperlink"/>
                <w:rFonts w:ascii="Calibri" w:eastAsia="Calibri" w:hAnsi="Calibri" w:cs="Calibri"/>
                <w:b/>
                <w:bCs/>
              </w:rPr>
            </w:pPr>
          </w:p>
          <w:p w14:paraId="6E2229DD" w14:textId="37A3F812" w:rsidR="2D80A2B8" w:rsidRDefault="2D80A2B8" w:rsidP="75B4E743">
            <w:pPr>
              <w:rPr>
                <w:rStyle w:val="Hyperlink"/>
                <w:rFonts w:ascii="Calibri" w:eastAsia="Calibri" w:hAnsi="Calibri" w:cs="Calibri"/>
                <w:b/>
                <w:bCs/>
              </w:rPr>
            </w:pPr>
          </w:p>
          <w:p w14:paraId="39E5FA26" w14:textId="034F0DF2" w:rsidR="2D80A2B8" w:rsidRDefault="2D80A2B8" w:rsidP="75B4E743">
            <w:pPr>
              <w:rPr>
                <w:rStyle w:val="Hyperlink"/>
                <w:rFonts w:ascii="Calibri" w:eastAsia="Calibri" w:hAnsi="Calibri" w:cs="Calibri"/>
                <w:b/>
                <w:bCs/>
              </w:rPr>
            </w:pPr>
          </w:p>
          <w:p w14:paraId="396715A6" w14:textId="3DD187A7" w:rsidR="2D80A2B8" w:rsidRPr="009C2C0A" w:rsidRDefault="00204B52" w:rsidP="75B4E743">
            <w:pPr>
              <w:pStyle w:val="Body"/>
              <w:rPr>
                <w:rStyle w:val="Hyperlink"/>
                <w:rFonts w:eastAsia="Calibri" w:cs="Calibri"/>
                <w:b/>
                <w:sz w:val="18"/>
              </w:rPr>
            </w:pPr>
            <w:r w:rsidRPr="000A42BC">
              <w:t>HL7 Electronic Health Record System Functional Model (EHR-S FM) [Draft Release 2.1]</w:t>
            </w:r>
            <w:r w:rsidR="4AABA752" w:rsidRPr="009C2C0A">
              <w:rPr>
                <w:rStyle w:val="Hyperlink"/>
                <w:rFonts w:eastAsia="Calibri" w:cs="Calibri"/>
                <w:b/>
                <w:sz w:val="18"/>
              </w:rPr>
              <w:t xml:space="preserve"> </w:t>
            </w:r>
          </w:p>
          <w:p w14:paraId="32FA4999" w14:textId="4DE68A58" w:rsidR="2D80A2B8" w:rsidRDefault="2D80A2B8">
            <w:pPr>
              <w:rPr>
                <w:rStyle w:val="Hyperlink"/>
                <w:rFonts w:ascii="Calibri" w:eastAsia="Calibri" w:hAnsi="Calibri" w:cs="Calibri"/>
                <w:b/>
              </w:rPr>
            </w:pPr>
          </w:p>
        </w:tc>
      </w:tr>
    </w:tbl>
    <w:p w14:paraId="1CE32EF0" w14:textId="2F1BBF6B" w:rsidR="00690901" w:rsidRPr="0070172A" w:rsidRDefault="00690901" w:rsidP="00096798">
      <w:pPr>
        <w:pStyle w:val="Body"/>
        <w:rPr>
          <w:rFonts w:eastAsia="Calibri" w:cs="Calibri"/>
          <w:b/>
          <w:sz w:val="18"/>
        </w:rPr>
      </w:pPr>
      <w:bookmarkStart w:id="78" w:name="_Toc50629291"/>
      <w:bookmarkEnd w:id="77"/>
      <w:bookmarkEnd w:id="78"/>
    </w:p>
    <w:sectPr w:rsidR="00690901" w:rsidRPr="0070172A" w:rsidSect="00A866BA">
      <w:footerReference w:type="default" r:id="rId94"/>
      <w:pgSz w:w="12240" w:h="15840" w:code="1"/>
      <w:pgMar w:top="1440" w:right="1440" w:bottom="1440" w:left="1440" w:header="720" w:footer="576" w:gutter="0"/>
      <w:pgNumType w:start="1"/>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C45A9F4" w16cex:dateUtc="2020-07-02T23:57:53.865Z"/>
  <w16cex:commentExtensible w16cex:durableId="0B0AEDFF" w16cex:dateUtc="2020-07-03T00:03:05.189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7FC766" w16cid:durableId="233836AA"/>
  <w16cid:commentId w16cid:paraId="62427E47" w16cid:durableId="233A8635"/>
  <w16cid:commentId w16cid:paraId="0ECB99EB" w16cid:durableId="23398ADD"/>
  <w16cid:commentId w16cid:paraId="3E4DB04A" w16cid:durableId="23382A26"/>
  <w16cid:commentId w16cid:paraId="31251B7B" w16cid:durableId="23398C35"/>
  <w16cid:commentId w16cid:paraId="7146788A" w16cid:durableId="23382B64"/>
  <w16cid:commentId w16cid:paraId="786E9565" w16cid:durableId="233831D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C4A2E" w14:textId="77777777" w:rsidR="00A704AB" w:rsidRDefault="00A704AB" w:rsidP="00684E53">
      <w:pPr>
        <w:spacing w:after="0" w:line="240" w:lineRule="auto"/>
      </w:pPr>
      <w:r>
        <w:separator/>
      </w:r>
    </w:p>
  </w:endnote>
  <w:endnote w:type="continuationSeparator" w:id="0">
    <w:p w14:paraId="01B629B7" w14:textId="77777777" w:rsidR="00A704AB" w:rsidRDefault="00A704AB" w:rsidP="00684E53">
      <w:pPr>
        <w:spacing w:after="0" w:line="240" w:lineRule="auto"/>
      </w:pPr>
      <w:r>
        <w:continuationSeparator/>
      </w:r>
    </w:p>
  </w:endnote>
  <w:endnote w:type="continuationNotice" w:id="1">
    <w:p w14:paraId="5ABDC4C0" w14:textId="77777777" w:rsidR="00A704AB" w:rsidRDefault="00A704AB">
      <w:pPr>
        <w:spacing w:before="0" w:after="0" w:line="240" w:lineRule="auto"/>
      </w:pPr>
    </w:p>
  </w:endnote>
  <w:endnote w:id="2">
    <w:p w14:paraId="0E54632B" w14:textId="77777777" w:rsidR="00A704AB" w:rsidRDefault="00A704AB" w:rsidP="008D7089">
      <w:pPr>
        <w:pStyle w:val="EndnoteText"/>
      </w:pPr>
      <w:r>
        <w:rPr>
          <w:rStyle w:val="EndnoteReference"/>
        </w:rPr>
        <w:t>[i]</w:t>
      </w:r>
      <w:r>
        <w:t xml:space="preserve"> Infoway Support for HL7 Version 3 Messages. </w:t>
      </w:r>
      <w:hyperlink r:id="rId1" w:history="1">
        <w:r>
          <w:rPr>
            <w:rStyle w:val="Hyperlink"/>
          </w:rPr>
          <w:t>https://infocentral.infoway-inforoute.ca/en/resources/docs/1502-infoway-v3-hl7-release-status/view-document</w:t>
        </w:r>
      </w:hyperlink>
    </w:p>
  </w:endnote>
  <w:endnote w:id="3">
    <w:p w14:paraId="566D33C6" w14:textId="02A8C39E" w:rsidR="00A704AB" w:rsidRDefault="00A704AB" w:rsidP="008D7089">
      <w:pPr>
        <w:pStyle w:val="EndnoteText"/>
      </w:pPr>
      <w:r>
        <w:rPr>
          <w:rStyle w:val="EndnoteReference"/>
        </w:rPr>
        <w:t>[ii]</w:t>
      </w:r>
      <w:r>
        <w:t xml:space="preserve"> HL7 Explorer - InfoCentral Home. </w:t>
      </w:r>
      <w:hyperlink r:id="rId2" w:history="1">
        <w:r w:rsidRPr="008926E4">
          <w:rPr>
            <w:rStyle w:val="Hyperlink"/>
          </w:rPr>
          <w:t>https://infocentral.infoway-inforoute.ca/en/tools/standards-tools/hl7-explorer</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WAdobeF">
    <w:charset w:val="00"/>
    <w:family w:val="auto"/>
    <w:pitch w:val="variable"/>
    <w:sig w:usb0="20002A87" w:usb1="00000000" w:usb2="00000000" w:usb3="00000000" w:csb0="000001FF" w:csb1="00000000"/>
  </w:font>
  <w:font w:name="Lucida Grande">
    <w:altName w:val="Segoe UI"/>
    <w:charset w:val="00"/>
    <w:family w:val="roman"/>
    <w:pitch w:val="default"/>
  </w:font>
  <w:font w:name="Times New Roman (Headings CS)">
    <w:altName w:val="Times New Roman"/>
    <w:charset w:val="00"/>
    <w:family w:val="roman"/>
    <w:pitch w:val="default"/>
  </w:font>
  <w:font w:name="Medium-65">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F1795" w14:textId="77777777" w:rsidR="00691136" w:rsidRDefault="00691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5C1B1" w14:textId="17ED9E10" w:rsidR="00A704AB" w:rsidRDefault="00A704AB">
    <w:pPr>
      <w:pStyle w:val="Footer"/>
    </w:pPr>
  </w:p>
  <w:p w14:paraId="735C972E" w14:textId="5CCE97E3" w:rsidR="00A704AB" w:rsidRDefault="00A704AB" w:rsidP="00D24B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B7706" w14:textId="77777777" w:rsidR="00691136" w:rsidRDefault="006911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45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2430"/>
    </w:tblGrid>
    <w:tr w:rsidR="00A704AB" w14:paraId="14EC5F06" w14:textId="77777777" w:rsidTr="228950F6">
      <w:tc>
        <w:tcPr>
          <w:tcW w:w="7020" w:type="dxa"/>
          <w:tcMar>
            <w:top w:w="72" w:type="dxa"/>
            <w:left w:w="0" w:type="dxa"/>
            <w:right w:w="0" w:type="dxa"/>
          </w:tcMar>
        </w:tcPr>
        <w:p w14:paraId="265AAB48" w14:textId="04D9873A" w:rsidR="00A704AB" w:rsidRDefault="00A704AB" w:rsidP="005B28B0">
          <w:pPr>
            <w:pStyle w:val="Footer"/>
            <w:rPr>
              <w:color w:val="595959" w:themeColor="text1" w:themeTint="A6"/>
            </w:rPr>
          </w:pPr>
          <w:r w:rsidRPr="00A13BE9">
            <w:rPr>
              <w:noProof/>
              <w:color w:val="595959" w:themeColor="text1" w:themeTint="A6"/>
            </w:rPr>
            <w:fldChar w:fldCharType="begin"/>
          </w:r>
          <w:r>
            <w:rPr>
              <w:color w:val="595959" w:themeColor="text1" w:themeTint="A6"/>
            </w:rPr>
            <w:instrText xml:space="preserve"> PAGE  \* roman  \* MERGEFORMAT </w:instrText>
          </w:r>
          <w:r w:rsidRPr="00A13BE9">
            <w:rPr>
              <w:color w:val="595959" w:themeColor="text1" w:themeTint="A6"/>
            </w:rPr>
            <w:fldChar w:fldCharType="separate"/>
          </w:r>
          <w:r w:rsidR="00D92A6E">
            <w:rPr>
              <w:noProof/>
              <w:color w:val="595959" w:themeColor="text1" w:themeTint="A6"/>
            </w:rPr>
            <w:t>iv</w:t>
          </w:r>
          <w:r w:rsidRPr="00A13BE9">
            <w:rPr>
              <w:noProof/>
              <w:color w:val="595959" w:themeColor="text1" w:themeTint="A6"/>
            </w:rPr>
            <w:fldChar w:fldCharType="end"/>
          </w:r>
          <w:r>
            <w:rPr>
              <w:color w:val="595959" w:themeColor="text1" w:themeTint="A6"/>
            </w:rPr>
            <w:br/>
          </w:r>
          <w:r w:rsidRPr="006E7579">
            <w:rPr>
              <w:color w:val="595959" w:themeColor="text1" w:themeTint="A6"/>
            </w:rPr>
            <w:t>Ontario’s Digital Health Connectivity Requirements for Point-of-Service Procurements</w:t>
          </w:r>
        </w:p>
      </w:tc>
      <w:tc>
        <w:tcPr>
          <w:tcW w:w="2430" w:type="dxa"/>
          <w:tcMar>
            <w:top w:w="72" w:type="dxa"/>
            <w:left w:w="0" w:type="dxa"/>
            <w:right w:w="0" w:type="dxa"/>
          </w:tcMar>
          <w:vAlign w:val="bottom"/>
        </w:tcPr>
        <w:p w14:paraId="7F69B25C" w14:textId="4173FDD4" w:rsidR="00A704AB" w:rsidRDefault="00A704AB" w:rsidP="00AF6742">
          <w:pPr>
            <w:pStyle w:val="Footer"/>
            <w:spacing w:before="240"/>
            <w:jc w:val="right"/>
            <w:rPr>
              <w:color w:val="595959" w:themeColor="text1" w:themeTint="A6"/>
            </w:rPr>
          </w:pPr>
          <w:r>
            <w:rPr>
              <w:noProof/>
            </w:rPr>
            <w:drawing>
              <wp:inline distT="0" distB="0" distL="0" distR="0" wp14:anchorId="4394B591" wp14:editId="775C7390">
                <wp:extent cx="1543237"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1">
                          <a:extLst>
                            <a:ext uri="{28A0092B-C50C-407E-A947-70E740481C1C}">
                              <a14:useLocalDpi xmlns:a14="http://schemas.microsoft.com/office/drawing/2010/main" val="0"/>
                            </a:ext>
                          </a:extLst>
                        </a:blip>
                        <a:srcRect t="19846" b="19622"/>
                        <a:stretch/>
                      </pic:blipFill>
                      <pic:spPr bwMode="auto">
                        <a:xfrm>
                          <a:off x="0" y="0"/>
                          <a:ext cx="1543237" cy="457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06165C" w14:textId="77777777" w:rsidR="00A704AB" w:rsidRPr="00FE23EC" w:rsidRDefault="00A704AB" w:rsidP="00FE23EC">
    <w:pPr>
      <w:pStyle w:val="Footer"/>
      <w:spacing w:before="0"/>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36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0"/>
      <w:gridCol w:w="2160"/>
    </w:tblGrid>
    <w:tr w:rsidR="00A704AB" w14:paraId="67ADB006" w14:textId="77777777" w:rsidTr="228950F6">
      <w:tc>
        <w:tcPr>
          <w:tcW w:w="7200" w:type="dxa"/>
          <w:tcMar>
            <w:top w:w="72" w:type="dxa"/>
            <w:left w:w="0" w:type="dxa"/>
            <w:right w:w="0" w:type="dxa"/>
          </w:tcMar>
        </w:tcPr>
        <w:p w14:paraId="4D38D650" w14:textId="004498E2" w:rsidR="00A704AB" w:rsidRDefault="00A704AB" w:rsidP="005B28B0">
          <w:pPr>
            <w:pStyle w:val="Footer"/>
            <w:tabs>
              <w:tab w:val="clear" w:pos="4680"/>
              <w:tab w:val="clear" w:pos="9360"/>
              <w:tab w:val="center" w:pos="4320"/>
              <w:tab w:val="right" w:pos="7380"/>
            </w:tabs>
            <w:rPr>
              <w:color w:val="595959" w:themeColor="text1" w:themeTint="A6"/>
            </w:rPr>
          </w:pPr>
          <w:r w:rsidRPr="00A13BE9">
            <w:rPr>
              <w:noProof/>
              <w:color w:val="595959" w:themeColor="text1" w:themeTint="A6"/>
            </w:rPr>
            <w:fldChar w:fldCharType="begin"/>
          </w:r>
          <w:r>
            <w:rPr>
              <w:color w:val="595959" w:themeColor="text1" w:themeTint="A6"/>
            </w:rPr>
            <w:instrText xml:space="preserve"> PAGE  \* Arabic  \* MERGEFORMAT </w:instrText>
          </w:r>
          <w:r w:rsidRPr="00A13BE9">
            <w:rPr>
              <w:color w:val="595959" w:themeColor="text1" w:themeTint="A6"/>
            </w:rPr>
            <w:fldChar w:fldCharType="separate"/>
          </w:r>
          <w:r w:rsidR="00D92A6E">
            <w:rPr>
              <w:noProof/>
              <w:color w:val="595959" w:themeColor="text1" w:themeTint="A6"/>
            </w:rPr>
            <w:t>18</w:t>
          </w:r>
          <w:r w:rsidRPr="00A13BE9">
            <w:rPr>
              <w:noProof/>
              <w:color w:val="595959" w:themeColor="text1" w:themeTint="A6"/>
            </w:rPr>
            <w:fldChar w:fldCharType="end"/>
          </w:r>
          <w:r>
            <w:rPr>
              <w:color w:val="595959" w:themeColor="text1" w:themeTint="A6"/>
            </w:rPr>
            <w:br/>
          </w:r>
          <w:r w:rsidRPr="008E0F9A">
            <w:rPr>
              <w:color w:val="595959" w:themeColor="text1" w:themeTint="A6"/>
            </w:rPr>
            <w:t>Ontario’s Digital Health Connectivity Requirements for Point-of-Service Procurements</w:t>
          </w:r>
        </w:p>
      </w:tc>
      <w:tc>
        <w:tcPr>
          <w:tcW w:w="2160" w:type="dxa"/>
          <w:tcMar>
            <w:top w:w="72" w:type="dxa"/>
            <w:left w:w="0" w:type="dxa"/>
            <w:right w:w="0" w:type="dxa"/>
          </w:tcMar>
          <w:vAlign w:val="bottom"/>
        </w:tcPr>
        <w:p w14:paraId="1882A982" w14:textId="77777777" w:rsidR="00A704AB" w:rsidRDefault="00A704AB" w:rsidP="005B28B0">
          <w:pPr>
            <w:pStyle w:val="Footer"/>
            <w:spacing w:before="240"/>
            <w:ind w:right="1065"/>
            <w:jc w:val="right"/>
            <w:rPr>
              <w:color w:val="595959" w:themeColor="text1" w:themeTint="A6"/>
            </w:rPr>
          </w:pPr>
          <w:r>
            <w:rPr>
              <w:noProof/>
            </w:rPr>
            <w:drawing>
              <wp:inline distT="0" distB="0" distL="0" distR="0" wp14:anchorId="0D46C12E" wp14:editId="64D5C51C">
                <wp:extent cx="1568958" cy="457200"/>
                <wp:effectExtent l="0" t="0" r="0" b="0"/>
                <wp:docPr id="47203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t="19847" b="20614"/>
                        <a:stretch/>
                      </pic:blipFill>
                      <pic:spPr bwMode="auto">
                        <a:xfrm>
                          <a:off x="0" y="0"/>
                          <a:ext cx="1568958" cy="457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64CE9E" w14:textId="457FE9B8" w:rsidR="00A704AB" w:rsidRPr="00FE23EC" w:rsidRDefault="00A704AB" w:rsidP="00FE23EC">
    <w:pPr>
      <w:pStyle w:val="Footer"/>
      <w:spacing w:before="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D0545" w14:textId="77777777" w:rsidR="00A704AB" w:rsidRDefault="00A704AB" w:rsidP="00684E53">
      <w:pPr>
        <w:spacing w:after="0" w:line="240" w:lineRule="auto"/>
      </w:pPr>
      <w:r>
        <w:separator/>
      </w:r>
    </w:p>
  </w:footnote>
  <w:footnote w:type="continuationSeparator" w:id="0">
    <w:p w14:paraId="7FB1C533" w14:textId="77777777" w:rsidR="00A704AB" w:rsidRDefault="00A704AB" w:rsidP="00684E53">
      <w:pPr>
        <w:spacing w:after="0" w:line="240" w:lineRule="auto"/>
      </w:pPr>
      <w:r>
        <w:continuationSeparator/>
      </w:r>
    </w:p>
  </w:footnote>
  <w:footnote w:type="continuationNotice" w:id="1">
    <w:p w14:paraId="7FCB443E" w14:textId="77777777" w:rsidR="00A704AB" w:rsidRDefault="00A704A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1FB99" w14:textId="77777777" w:rsidR="00691136" w:rsidRDefault="00691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042F8" w14:textId="77777777" w:rsidR="00691136" w:rsidRDefault="006911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44AC" w14:textId="77777777" w:rsidR="00691136" w:rsidRDefault="006911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337AF" w14:textId="77777777" w:rsidR="00A704AB" w:rsidRDefault="00A704AB" w:rsidP="00591A5C">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25161A74"/>
    <w:lvl w:ilvl="0">
      <w:start w:val="1"/>
      <w:numFmt w:val="bullet"/>
      <w:pStyle w:val="ListNumber2"/>
      <w:lvlText w:val=""/>
      <w:lvlJc w:val="left"/>
      <w:pPr>
        <w:tabs>
          <w:tab w:val="num" w:pos="1800"/>
        </w:tabs>
        <w:ind w:left="1800" w:hanging="360"/>
      </w:pPr>
      <w:rPr>
        <w:rFonts w:ascii="Symbol" w:hAnsi="Symbol" w:hint="default"/>
      </w:rPr>
    </w:lvl>
  </w:abstractNum>
  <w:abstractNum w:abstractNumId="1" w15:restartNumberingAfterBreak="0">
    <w:nsid w:val="FFFFFF82"/>
    <w:multiLevelType w:val="hybridMultilevel"/>
    <w:tmpl w:val="50C8733E"/>
    <w:lvl w:ilvl="0" w:tplc="67828330">
      <w:start w:val="1"/>
      <w:numFmt w:val="bullet"/>
      <w:pStyle w:val="ListBullet5"/>
      <w:lvlText w:val=""/>
      <w:lvlJc w:val="left"/>
      <w:pPr>
        <w:tabs>
          <w:tab w:val="num" w:pos="1080"/>
        </w:tabs>
        <w:ind w:left="1080" w:hanging="360"/>
      </w:pPr>
      <w:rPr>
        <w:rFonts w:ascii="Symbol" w:hAnsi="Symbol" w:hint="default"/>
      </w:rPr>
    </w:lvl>
    <w:lvl w:ilvl="1" w:tplc="681E9C54">
      <w:numFmt w:val="decimal"/>
      <w:lvlText w:val=""/>
      <w:lvlJc w:val="left"/>
    </w:lvl>
    <w:lvl w:ilvl="2" w:tplc="F0160358">
      <w:numFmt w:val="decimal"/>
      <w:lvlText w:val=""/>
      <w:lvlJc w:val="left"/>
    </w:lvl>
    <w:lvl w:ilvl="3" w:tplc="990CD196">
      <w:numFmt w:val="decimal"/>
      <w:lvlText w:val=""/>
      <w:lvlJc w:val="left"/>
    </w:lvl>
    <w:lvl w:ilvl="4" w:tplc="11E6F224">
      <w:numFmt w:val="decimal"/>
      <w:lvlText w:val=""/>
      <w:lvlJc w:val="left"/>
    </w:lvl>
    <w:lvl w:ilvl="5" w:tplc="FD6806B0">
      <w:numFmt w:val="decimal"/>
      <w:lvlText w:val=""/>
      <w:lvlJc w:val="left"/>
    </w:lvl>
    <w:lvl w:ilvl="6" w:tplc="EEB42C3C">
      <w:numFmt w:val="decimal"/>
      <w:lvlText w:val=""/>
      <w:lvlJc w:val="left"/>
    </w:lvl>
    <w:lvl w:ilvl="7" w:tplc="5038E584">
      <w:numFmt w:val="decimal"/>
      <w:lvlText w:val=""/>
      <w:lvlJc w:val="left"/>
    </w:lvl>
    <w:lvl w:ilvl="8" w:tplc="BC50BD44">
      <w:numFmt w:val="decimal"/>
      <w:lvlText w:val=""/>
      <w:lvlJc w:val="left"/>
    </w:lvl>
  </w:abstractNum>
  <w:abstractNum w:abstractNumId="2" w15:restartNumberingAfterBreak="0">
    <w:nsid w:val="FFFFFF83"/>
    <w:multiLevelType w:val="singleLevel"/>
    <w:tmpl w:val="E6725FF0"/>
    <w:lvl w:ilvl="0">
      <w:start w:val="1"/>
      <w:numFmt w:val="bullet"/>
      <w:pStyle w:val="ListBullet2"/>
      <w:lvlText w:val=""/>
      <w:lvlJc w:val="left"/>
      <w:pPr>
        <w:ind w:left="720" w:hanging="360"/>
      </w:pPr>
      <w:rPr>
        <w:rFonts w:ascii="Wingdings" w:hAnsi="Wingdings" w:hint="default"/>
      </w:rPr>
    </w:lvl>
  </w:abstractNum>
  <w:abstractNum w:abstractNumId="3" w15:restartNumberingAfterBreak="0">
    <w:nsid w:val="FFFFFF89"/>
    <w:multiLevelType w:val="hybridMultilevel"/>
    <w:tmpl w:val="F9561F30"/>
    <w:lvl w:ilvl="0" w:tplc="D1CAC53C">
      <w:start w:val="1"/>
      <w:numFmt w:val="bullet"/>
      <w:pStyle w:val="ListBullet"/>
      <w:lvlText w:val=""/>
      <w:lvlJc w:val="left"/>
      <w:pPr>
        <w:ind w:left="360" w:hanging="360"/>
      </w:pPr>
      <w:rPr>
        <w:rFonts w:ascii="Wingdings" w:hAnsi="Wingdings" w:hint="default"/>
      </w:rPr>
    </w:lvl>
    <w:lvl w:ilvl="1" w:tplc="323EEEA4">
      <w:numFmt w:val="decimal"/>
      <w:lvlText w:val=""/>
      <w:lvlJc w:val="left"/>
    </w:lvl>
    <w:lvl w:ilvl="2" w:tplc="AD2CFE1C">
      <w:numFmt w:val="decimal"/>
      <w:lvlText w:val=""/>
      <w:lvlJc w:val="left"/>
    </w:lvl>
    <w:lvl w:ilvl="3" w:tplc="445CD044">
      <w:numFmt w:val="decimal"/>
      <w:lvlText w:val=""/>
      <w:lvlJc w:val="left"/>
    </w:lvl>
    <w:lvl w:ilvl="4" w:tplc="698ED04E">
      <w:numFmt w:val="decimal"/>
      <w:lvlText w:val=""/>
      <w:lvlJc w:val="left"/>
    </w:lvl>
    <w:lvl w:ilvl="5" w:tplc="D994AF76">
      <w:numFmt w:val="decimal"/>
      <w:lvlText w:val=""/>
      <w:lvlJc w:val="left"/>
    </w:lvl>
    <w:lvl w:ilvl="6" w:tplc="C008931C">
      <w:numFmt w:val="decimal"/>
      <w:lvlText w:val=""/>
      <w:lvlJc w:val="left"/>
    </w:lvl>
    <w:lvl w:ilvl="7" w:tplc="27207AE8">
      <w:numFmt w:val="decimal"/>
      <w:lvlText w:val=""/>
      <w:lvlJc w:val="left"/>
    </w:lvl>
    <w:lvl w:ilvl="8" w:tplc="AF18C056">
      <w:numFmt w:val="decimal"/>
      <w:lvlText w:val=""/>
      <w:lvlJc w:val="left"/>
    </w:lvl>
  </w:abstractNum>
  <w:abstractNum w:abstractNumId="4" w15:restartNumberingAfterBreak="0">
    <w:nsid w:val="014E4853"/>
    <w:multiLevelType w:val="hybridMultilevel"/>
    <w:tmpl w:val="9522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5C442A"/>
    <w:multiLevelType w:val="multilevel"/>
    <w:tmpl w:val="47785EC8"/>
    <w:name w:val="HTML-List4"/>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 w15:restartNumberingAfterBreak="0">
    <w:nsid w:val="015C442B"/>
    <w:multiLevelType w:val="multilevel"/>
    <w:tmpl w:val="027491AC"/>
    <w:name w:val="HTML-List5"/>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 w15:restartNumberingAfterBreak="0">
    <w:nsid w:val="015C442C"/>
    <w:multiLevelType w:val="multilevel"/>
    <w:tmpl w:val="91EC8408"/>
    <w:name w:val="HTML-List6"/>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 w15:restartNumberingAfterBreak="0">
    <w:nsid w:val="015C442D"/>
    <w:multiLevelType w:val="multilevel"/>
    <w:tmpl w:val="93DE0F3E"/>
    <w:name w:val="HTML-List7"/>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9" w15:restartNumberingAfterBreak="0">
    <w:nsid w:val="01967731"/>
    <w:multiLevelType w:val="hybridMultilevel"/>
    <w:tmpl w:val="B428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B80256"/>
    <w:multiLevelType w:val="hybridMultilevel"/>
    <w:tmpl w:val="2F38E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0B1022"/>
    <w:multiLevelType w:val="multilevel"/>
    <w:tmpl w:val="63B0D0C6"/>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9327F3D"/>
    <w:multiLevelType w:val="hybridMultilevel"/>
    <w:tmpl w:val="F6909C74"/>
    <w:lvl w:ilvl="0" w:tplc="6A524EEA">
      <w:start w:val="1"/>
      <w:numFmt w:val="bullet"/>
      <w:pStyle w:val="BulletedLevel2"/>
      <w:lvlText w:val=""/>
      <w:lvlJc w:val="left"/>
      <w:pPr>
        <w:tabs>
          <w:tab w:val="num" w:pos="1702"/>
        </w:tabs>
        <w:ind w:left="1702" w:hanging="42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4F4B1B"/>
    <w:multiLevelType w:val="hybridMultilevel"/>
    <w:tmpl w:val="D604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F100D"/>
    <w:multiLevelType w:val="hybridMultilevel"/>
    <w:tmpl w:val="E4123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E73241"/>
    <w:multiLevelType w:val="multilevel"/>
    <w:tmpl w:val="184EC608"/>
    <w:styleLink w:val="Headings"/>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1170" w:hanging="360"/>
      </w:pPr>
      <w:rPr>
        <w:rFonts w:hint="default"/>
      </w:rPr>
    </w:lvl>
    <w:lvl w:ilvl="2">
      <w:start w:val="1"/>
      <w:numFmt w:val="decimal"/>
      <w:pStyle w:val="Heading3"/>
      <w:lvlText w:val="%1.%2.%3"/>
      <w:lvlJc w:val="left"/>
      <w:pPr>
        <w:ind w:left="360" w:hanging="360"/>
      </w:pPr>
      <w:rPr>
        <w:rFonts w:hint="default"/>
      </w:rPr>
    </w:lvl>
    <w:lvl w:ilvl="3">
      <w:start w:val="1"/>
      <w:numFmt w:val="decimal"/>
      <w:pStyle w:val="Heading4-WithNumber"/>
      <w:lvlText w:val="%1.%2.%3.%4"/>
      <w:lvlJc w:val="left"/>
      <w:pPr>
        <w:ind w:left="495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4FE1093"/>
    <w:multiLevelType w:val="hybridMultilevel"/>
    <w:tmpl w:val="AB9AC0AC"/>
    <w:lvl w:ilvl="0" w:tplc="050E442E">
      <w:start w:val="1"/>
      <w:numFmt w:val="decimal"/>
      <w:pStyle w:val="NumberedLevel1"/>
      <w:lvlText w:val="%1."/>
      <w:lvlJc w:val="left"/>
      <w:pPr>
        <w:tabs>
          <w:tab w:val="num" w:pos="425"/>
        </w:tabs>
        <w:ind w:left="425" w:hanging="425"/>
      </w:pPr>
      <w:rPr>
        <w:rFonts w:asciiTheme="minorHAnsi" w:hAnsiTheme="minorHAnsi" w:cs="Times New Roman" w:hint="default"/>
        <w:b w:val="0"/>
        <w:i w:val="0"/>
        <w:sz w:val="18"/>
        <w:szCs w:val="18"/>
      </w:rPr>
    </w:lvl>
    <w:lvl w:ilvl="1" w:tplc="FFFFFFFF" w:tentative="1">
      <w:start w:val="1"/>
      <w:numFmt w:val="lowerLetter"/>
      <w:lvlText w:val="%2."/>
      <w:lvlJc w:val="left"/>
      <w:pPr>
        <w:tabs>
          <w:tab w:val="num" w:pos="589"/>
        </w:tabs>
        <w:ind w:left="589" w:hanging="360"/>
      </w:pPr>
      <w:rPr>
        <w:rFonts w:cs="Times New Roman"/>
      </w:rPr>
    </w:lvl>
    <w:lvl w:ilvl="2" w:tplc="FFFFFFFF" w:tentative="1">
      <w:start w:val="1"/>
      <w:numFmt w:val="lowerRoman"/>
      <w:lvlText w:val="%3."/>
      <w:lvlJc w:val="right"/>
      <w:pPr>
        <w:tabs>
          <w:tab w:val="num" w:pos="1309"/>
        </w:tabs>
        <w:ind w:left="1309" w:hanging="180"/>
      </w:pPr>
      <w:rPr>
        <w:rFonts w:cs="Times New Roman"/>
      </w:rPr>
    </w:lvl>
    <w:lvl w:ilvl="3" w:tplc="FFFFFFFF" w:tentative="1">
      <w:start w:val="1"/>
      <w:numFmt w:val="decimal"/>
      <w:lvlText w:val="%4."/>
      <w:lvlJc w:val="left"/>
      <w:pPr>
        <w:tabs>
          <w:tab w:val="num" w:pos="2029"/>
        </w:tabs>
        <w:ind w:left="2029" w:hanging="360"/>
      </w:pPr>
      <w:rPr>
        <w:rFonts w:cs="Times New Roman"/>
      </w:rPr>
    </w:lvl>
    <w:lvl w:ilvl="4" w:tplc="FFFFFFFF" w:tentative="1">
      <w:start w:val="1"/>
      <w:numFmt w:val="lowerLetter"/>
      <w:lvlText w:val="%5."/>
      <w:lvlJc w:val="left"/>
      <w:pPr>
        <w:tabs>
          <w:tab w:val="num" w:pos="2749"/>
        </w:tabs>
        <w:ind w:left="2749" w:hanging="360"/>
      </w:pPr>
      <w:rPr>
        <w:rFonts w:cs="Times New Roman"/>
      </w:rPr>
    </w:lvl>
    <w:lvl w:ilvl="5" w:tplc="FFFFFFFF" w:tentative="1">
      <w:start w:val="1"/>
      <w:numFmt w:val="lowerRoman"/>
      <w:lvlText w:val="%6."/>
      <w:lvlJc w:val="right"/>
      <w:pPr>
        <w:tabs>
          <w:tab w:val="num" w:pos="3469"/>
        </w:tabs>
        <w:ind w:left="3469" w:hanging="180"/>
      </w:pPr>
      <w:rPr>
        <w:rFonts w:cs="Times New Roman"/>
      </w:rPr>
    </w:lvl>
    <w:lvl w:ilvl="6" w:tplc="FFFFFFFF" w:tentative="1">
      <w:start w:val="1"/>
      <w:numFmt w:val="decimal"/>
      <w:lvlText w:val="%7."/>
      <w:lvlJc w:val="left"/>
      <w:pPr>
        <w:tabs>
          <w:tab w:val="num" w:pos="4189"/>
        </w:tabs>
        <w:ind w:left="4189" w:hanging="360"/>
      </w:pPr>
      <w:rPr>
        <w:rFonts w:cs="Times New Roman"/>
      </w:rPr>
    </w:lvl>
    <w:lvl w:ilvl="7" w:tplc="FFFFFFFF" w:tentative="1">
      <w:start w:val="1"/>
      <w:numFmt w:val="lowerLetter"/>
      <w:lvlText w:val="%8."/>
      <w:lvlJc w:val="left"/>
      <w:pPr>
        <w:tabs>
          <w:tab w:val="num" w:pos="4909"/>
        </w:tabs>
        <w:ind w:left="4909" w:hanging="360"/>
      </w:pPr>
      <w:rPr>
        <w:rFonts w:cs="Times New Roman"/>
      </w:rPr>
    </w:lvl>
    <w:lvl w:ilvl="8" w:tplc="FFFFFFFF" w:tentative="1">
      <w:start w:val="1"/>
      <w:numFmt w:val="lowerRoman"/>
      <w:lvlText w:val="%9."/>
      <w:lvlJc w:val="right"/>
      <w:pPr>
        <w:tabs>
          <w:tab w:val="num" w:pos="5629"/>
        </w:tabs>
        <w:ind w:left="5629" w:hanging="180"/>
      </w:pPr>
      <w:rPr>
        <w:rFonts w:cs="Times New Roman"/>
      </w:rPr>
    </w:lvl>
  </w:abstractNum>
  <w:abstractNum w:abstractNumId="17" w15:restartNumberingAfterBreak="0">
    <w:nsid w:val="16A45930"/>
    <w:multiLevelType w:val="hybridMultilevel"/>
    <w:tmpl w:val="B9FA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3272B3"/>
    <w:multiLevelType w:val="hybridMultilevel"/>
    <w:tmpl w:val="0488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9523D7"/>
    <w:multiLevelType w:val="multilevel"/>
    <w:tmpl w:val="BD840DAA"/>
    <w:styleLink w:val="Appendices"/>
    <w:lvl w:ilvl="0">
      <w:start w:val="1"/>
      <w:numFmt w:val="upperLetter"/>
      <w:pStyle w:val="Appendix-Level1"/>
      <w:lvlText w:val="Appendix %1"/>
      <w:lvlJc w:val="left"/>
      <w:pPr>
        <w:ind w:left="360" w:hanging="360"/>
      </w:pPr>
      <w:rPr>
        <w:rFonts w:hint="default"/>
      </w:rPr>
    </w:lvl>
    <w:lvl w:ilvl="1">
      <w:start w:val="1"/>
      <w:numFmt w:val="decimal"/>
      <w:pStyle w:val="Appendix-Level2"/>
      <w:lvlText w:val="%1.%2"/>
      <w:lvlJc w:val="left"/>
      <w:pPr>
        <w:ind w:left="720" w:hanging="360"/>
      </w:pPr>
      <w:rPr>
        <w:rFonts w:hint="default"/>
      </w:rPr>
    </w:lvl>
    <w:lvl w:ilvl="2">
      <w:start w:val="1"/>
      <w:numFmt w:val="decimal"/>
      <w:pStyle w:val="Appendix-Level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1C65D40"/>
    <w:multiLevelType w:val="hybridMultilevel"/>
    <w:tmpl w:val="5302D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A954B0"/>
    <w:multiLevelType w:val="hybridMultilevel"/>
    <w:tmpl w:val="A62464DE"/>
    <w:lvl w:ilvl="0" w:tplc="11D80648">
      <w:start w:val="1"/>
      <w:numFmt w:val="none"/>
      <w:pStyle w:val="Important"/>
      <w:lvlText w:val="Important: "/>
      <w:lvlJc w:val="left"/>
      <w:pPr>
        <w:tabs>
          <w:tab w:val="num" w:pos="2160"/>
        </w:tabs>
        <w:ind w:left="706" w:firstLine="0"/>
      </w:pPr>
      <w:rPr>
        <w:rFonts w:ascii="Georgia" w:hAnsi="Georgia"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17934B7"/>
    <w:multiLevelType w:val="hybridMultilevel"/>
    <w:tmpl w:val="123CE254"/>
    <w:lvl w:ilvl="0" w:tplc="32D0B014">
      <w:start w:val="1"/>
      <w:numFmt w:val="bullet"/>
      <w:lvlText w:val=""/>
      <w:lvlJc w:val="left"/>
      <w:pPr>
        <w:ind w:left="720" w:hanging="360"/>
      </w:pPr>
      <w:rPr>
        <w:rFonts w:ascii="Symbol" w:hAnsi="Symbol" w:hint="default"/>
        <w:color w:val="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DA14A7"/>
    <w:multiLevelType w:val="hybridMultilevel"/>
    <w:tmpl w:val="F2CABE44"/>
    <w:lvl w:ilvl="0" w:tplc="3F305E76">
      <w:start w:val="1"/>
      <w:numFmt w:val="bullet"/>
      <w:pStyle w:val="BulletedLevel3"/>
      <w:lvlText w:val=""/>
      <w:lvlJc w:val="left"/>
      <w:pPr>
        <w:tabs>
          <w:tab w:val="num" w:pos="2126"/>
        </w:tabs>
        <w:ind w:left="2126" w:hanging="425"/>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F172F6"/>
    <w:multiLevelType w:val="hybridMultilevel"/>
    <w:tmpl w:val="2D78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1E3307"/>
    <w:multiLevelType w:val="hybridMultilevel"/>
    <w:tmpl w:val="8FC02252"/>
    <w:lvl w:ilvl="0" w:tplc="E8B64E18">
      <w:start w:val="1"/>
      <w:numFmt w:val="bullet"/>
      <w:pStyle w:val="BulletedLevel1Compress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257A97"/>
    <w:multiLevelType w:val="hybridMultilevel"/>
    <w:tmpl w:val="A81CE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B17A9D"/>
    <w:multiLevelType w:val="multilevel"/>
    <w:tmpl w:val="BD840DAA"/>
    <w:numStyleLink w:val="Appendices"/>
  </w:abstractNum>
  <w:abstractNum w:abstractNumId="28" w15:restartNumberingAfterBreak="0">
    <w:nsid w:val="41981ABB"/>
    <w:multiLevelType w:val="hybridMultilevel"/>
    <w:tmpl w:val="CC34A0C6"/>
    <w:lvl w:ilvl="0" w:tplc="34AAE152">
      <w:start w:val="1"/>
      <w:numFmt w:val="bullet"/>
      <w:pStyle w:val="BulletedLevel1"/>
      <w:lvlText w:val=""/>
      <w:lvlJc w:val="left"/>
      <w:pPr>
        <w:ind w:left="810" w:hanging="360"/>
      </w:pPr>
      <w:rPr>
        <w:rFonts w:ascii="Symbol" w:hAnsi="Symbol" w:hint="default"/>
      </w:rPr>
    </w:lvl>
    <w:lvl w:ilvl="1" w:tplc="04090019">
      <w:start w:val="1"/>
      <w:numFmt w:val="bullet"/>
      <w:lvlText w:val="o"/>
      <w:lvlJc w:val="left"/>
      <w:pPr>
        <w:tabs>
          <w:tab w:val="num" w:pos="810"/>
        </w:tabs>
        <w:ind w:left="810" w:hanging="360"/>
      </w:pPr>
      <w:rPr>
        <w:rFonts w:ascii="Courier New" w:hAnsi="Courier New" w:cs="Courier New" w:hint="default"/>
      </w:rPr>
    </w:lvl>
    <w:lvl w:ilvl="2" w:tplc="0409001B">
      <w:start w:val="1"/>
      <w:numFmt w:val="bullet"/>
      <w:lvlText w:val=""/>
      <w:lvlJc w:val="left"/>
      <w:pPr>
        <w:tabs>
          <w:tab w:val="num" w:pos="1530"/>
        </w:tabs>
        <w:ind w:left="1530" w:hanging="360"/>
      </w:pPr>
      <w:rPr>
        <w:rFonts w:ascii="Wingdings" w:hAnsi="Wingdings" w:hint="default"/>
      </w:rPr>
    </w:lvl>
    <w:lvl w:ilvl="3" w:tplc="0409000F" w:tentative="1">
      <w:start w:val="1"/>
      <w:numFmt w:val="bullet"/>
      <w:lvlText w:val=""/>
      <w:lvlJc w:val="left"/>
      <w:pPr>
        <w:tabs>
          <w:tab w:val="num" w:pos="2250"/>
        </w:tabs>
        <w:ind w:left="2250" w:hanging="360"/>
      </w:pPr>
      <w:rPr>
        <w:rFonts w:ascii="Symbol" w:hAnsi="Symbol" w:hint="default"/>
      </w:rPr>
    </w:lvl>
    <w:lvl w:ilvl="4" w:tplc="04090019" w:tentative="1">
      <w:start w:val="1"/>
      <w:numFmt w:val="bullet"/>
      <w:lvlText w:val="o"/>
      <w:lvlJc w:val="left"/>
      <w:pPr>
        <w:tabs>
          <w:tab w:val="num" w:pos="2970"/>
        </w:tabs>
        <w:ind w:left="2970" w:hanging="360"/>
      </w:pPr>
      <w:rPr>
        <w:rFonts w:ascii="Courier New" w:hAnsi="Courier New" w:cs="Courier New" w:hint="default"/>
      </w:rPr>
    </w:lvl>
    <w:lvl w:ilvl="5" w:tplc="0409001B" w:tentative="1">
      <w:start w:val="1"/>
      <w:numFmt w:val="bullet"/>
      <w:lvlText w:val=""/>
      <w:lvlJc w:val="left"/>
      <w:pPr>
        <w:tabs>
          <w:tab w:val="num" w:pos="3690"/>
        </w:tabs>
        <w:ind w:left="3690" w:hanging="360"/>
      </w:pPr>
      <w:rPr>
        <w:rFonts w:ascii="Wingdings" w:hAnsi="Wingdings" w:hint="default"/>
      </w:rPr>
    </w:lvl>
    <w:lvl w:ilvl="6" w:tplc="0409000F" w:tentative="1">
      <w:start w:val="1"/>
      <w:numFmt w:val="bullet"/>
      <w:lvlText w:val=""/>
      <w:lvlJc w:val="left"/>
      <w:pPr>
        <w:tabs>
          <w:tab w:val="num" w:pos="4410"/>
        </w:tabs>
        <w:ind w:left="4410" w:hanging="360"/>
      </w:pPr>
      <w:rPr>
        <w:rFonts w:ascii="Symbol" w:hAnsi="Symbol" w:hint="default"/>
      </w:rPr>
    </w:lvl>
    <w:lvl w:ilvl="7" w:tplc="04090019" w:tentative="1">
      <w:start w:val="1"/>
      <w:numFmt w:val="bullet"/>
      <w:lvlText w:val="o"/>
      <w:lvlJc w:val="left"/>
      <w:pPr>
        <w:tabs>
          <w:tab w:val="num" w:pos="5130"/>
        </w:tabs>
        <w:ind w:left="5130" w:hanging="360"/>
      </w:pPr>
      <w:rPr>
        <w:rFonts w:ascii="Courier New" w:hAnsi="Courier New" w:cs="Courier New" w:hint="default"/>
      </w:rPr>
    </w:lvl>
    <w:lvl w:ilvl="8" w:tplc="0409001B" w:tentative="1">
      <w:start w:val="1"/>
      <w:numFmt w:val="bullet"/>
      <w:lvlText w:val=""/>
      <w:lvlJc w:val="left"/>
      <w:pPr>
        <w:tabs>
          <w:tab w:val="num" w:pos="5850"/>
        </w:tabs>
        <w:ind w:left="5850" w:hanging="360"/>
      </w:pPr>
      <w:rPr>
        <w:rFonts w:ascii="Wingdings" w:hAnsi="Wingdings" w:hint="default"/>
      </w:rPr>
    </w:lvl>
  </w:abstractNum>
  <w:abstractNum w:abstractNumId="29" w15:restartNumberingAfterBreak="0">
    <w:nsid w:val="429C2E6F"/>
    <w:multiLevelType w:val="hybridMultilevel"/>
    <w:tmpl w:val="0409001D"/>
    <w:styleLink w:val="1ai"/>
    <w:lvl w:ilvl="0" w:tplc="9A66E19C">
      <w:start w:val="1"/>
      <w:numFmt w:val="decimal"/>
      <w:lvlText w:val="%1)"/>
      <w:lvlJc w:val="left"/>
      <w:pPr>
        <w:tabs>
          <w:tab w:val="num" w:pos="360"/>
        </w:tabs>
        <w:ind w:left="360" w:hanging="360"/>
      </w:pPr>
      <w:rPr>
        <w:rFonts w:cs="Times New Roman"/>
      </w:rPr>
    </w:lvl>
    <w:lvl w:ilvl="1" w:tplc="B45CAD6E">
      <w:start w:val="1"/>
      <w:numFmt w:val="lowerLetter"/>
      <w:lvlText w:val="%2)"/>
      <w:lvlJc w:val="left"/>
      <w:pPr>
        <w:tabs>
          <w:tab w:val="num" w:pos="720"/>
        </w:tabs>
        <w:ind w:left="720" w:hanging="360"/>
      </w:pPr>
      <w:rPr>
        <w:rFonts w:cs="Times New Roman"/>
      </w:rPr>
    </w:lvl>
    <w:lvl w:ilvl="2" w:tplc="057A97CA">
      <w:start w:val="1"/>
      <w:numFmt w:val="lowerRoman"/>
      <w:lvlText w:val="%3)"/>
      <w:lvlJc w:val="left"/>
      <w:pPr>
        <w:tabs>
          <w:tab w:val="num" w:pos="1080"/>
        </w:tabs>
        <w:ind w:left="1080" w:hanging="360"/>
      </w:pPr>
      <w:rPr>
        <w:rFonts w:cs="Times New Roman"/>
      </w:rPr>
    </w:lvl>
    <w:lvl w:ilvl="3" w:tplc="A260AD5A">
      <w:start w:val="1"/>
      <w:numFmt w:val="decimal"/>
      <w:lvlText w:val="(%4)"/>
      <w:lvlJc w:val="left"/>
      <w:pPr>
        <w:tabs>
          <w:tab w:val="num" w:pos="1440"/>
        </w:tabs>
        <w:ind w:left="1440" w:hanging="360"/>
      </w:pPr>
      <w:rPr>
        <w:rFonts w:cs="Times New Roman"/>
      </w:rPr>
    </w:lvl>
    <w:lvl w:ilvl="4" w:tplc="FAB8161E">
      <w:start w:val="1"/>
      <w:numFmt w:val="lowerLetter"/>
      <w:lvlText w:val="(%5)"/>
      <w:lvlJc w:val="left"/>
      <w:pPr>
        <w:tabs>
          <w:tab w:val="num" w:pos="1800"/>
        </w:tabs>
        <w:ind w:left="1800" w:hanging="360"/>
      </w:pPr>
      <w:rPr>
        <w:rFonts w:cs="Times New Roman"/>
      </w:rPr>
    </w:lvl>
    <w:lvl w:ilvl="5" w:tplc="D27C9A6E">
      <w:start w:val="1"/>
      <w:numFmt w:val="lowerRoman"/>
      <w:lvlText w:val="(%6)"/>
      <w:lvlJc w:val="left"/>
      <w:pPr>
        <w:tabs>
          <w:tab w:val="num" w:pos="2160"/>
        </w:tabs>
        <w:ind w:left="2160" w:hanging="360"/>
      </w:pPr>
      <w:rPr>
        <w:rFonts w:cs="Times New Roman"/>
      </w:rPr>
    </w:lvl>
    <w:lvl w:ilvl="6" w:tplc="E5882B16">
      <w:start w:val="1"/>
      <w:numFmt w:val="decimal"/>
      <w:lvlText w:val="%7."/>
      <w:lvlJc w:val="left"/>
      <w:pPr>
        <w:tabs>
          <w:tab w:val="num" w:pos="2520"/>
        </w:tabs>
        <w:ind w:left="2520" w:hanging="360"/>
      </w:pPr>
      <w:rPr>
        <w:rFonts w:cs="Times New Roman"/>
      </w:rPr>
    </w:lvl>
    <w:lvl w:ilvl="7" w:tplc="387431B6">
      <w:start w:val="1"/>
      <w:numFmt w:val="lowerLetter"/>
      <w:lvlText w:val="%8."/>
      <w:lvlJc w:val="left"/>
      <w:pPr>
        <w:tabs>
          <w:tab w:val="num" w:pos="2880"/>
        </w:tabs>
        <w:ind w:left="2880" w:hanging="360"/>
      </w:pPr>
      <w:rPr>
        <w:rFonts w:cs="Times New Roman"/>
      </w:rPr>
    </w:lvl>
    <w:lvl w:ilvl="8" w:tplc="8F567196">
      <w:start w:val="1"/>
      <w:numFmt w:val="lowerRoman"/>
      <w:lvlText w:val="%9."/>
      <w:lvlJc w:val="left"/>
      <w:pPr>
        <w:tabs>
          <w:tab w:val="num" w:pos="3240"/>
        </w:tabs>
        <w:ind w:left="3240" w:hanging="360"/>
      </w:pPr>
      <w:rPr>
        <w:rFonts w:cs="Times New Roman"/>
      </w:rPr>
    </w:lvl>
  </w:abstractNum>
  <w:abstractNum w:abstractNumId="30" w15:restartNumberingAfterBreak="0">
    <w:nsid w:val="42B37EE3"/>
    <w:multiLevelType w:val="hybridMultilevel"/>
    <w:tmpl w:val="5A7A5E3A"/>
    <w:lvl w:ilvl="0" w:tplc="FFFFFFFF">
      <w:start w:val="1"/>
      <w:numFmt w:val="lowerRoman"/>
      <w:pStyle w:val="NumberedLevel3"/>
      <w:lvlText w:val="%1."/>
      <w:lvlJc w:val="left"/>
      <w:pPr>
        <w:tabs>
          <w:tab w:val="num" w:pos="2126"/>
        </w:tabs>
        <w:ind w:left="2126" w:hanging="425"/>
      </w:pPr>
      <w:rPr>
        <w:rFonts w:ascii="Century Schoolbook" w:hAnsi="Century Schoolbook" w:cs="Times New Roman" w:hint="default"/>
        <w:b w:val="0"/>
        <w:i w:val="0"/>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A26283"/>
    <w:multiLevelType w:val="hybridMultilevel"/>
    <w:tmpl w:val="24D08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BB1E01"/>
    <w:multiLevelType w:val="hybridMultilevel"/>
    <w:tmpl w:val="698E0DC2"/>
    <w:lvl w:ilvl="0" w:tplc="BA54C954">
      <w:start w:val="1"/>
      <w:numFmt w:val="lowerLetter"/>
      <w:pStyle w:val="DocAlphaList"/>
      <w:lvlText w:val="%1."/>
      <w:lvlJc w:val="left"/>
      <w:pPr>
        <w:tabs>
          <w:tab w:val="num" w:pos="1440"/>
        </w:tabs>
        <w:ind w:left="1440" w:hanging="360"/>
      </w:pPr>
      <w:rPr>
        <w:rFonts w:ascii="Lucida Sans Unicode" w:hAnsi="Lucida Sans Unicode" w:cs="Times New Roman" w:hint="default"/>
        <w:b w:val="0"/>
        <w:i w:val="0"/>
        <w:sz w:val="20"/>
        <w:szCs w:val="20"/>
      </w:rPr>
    </w:lvl>
    <w:lvl w:ilvl="1" w:tplc="04090003" w:tentative="1">
      <w:start w:val="1"/>
      <w:numFmt w:val="lowerLetter"/>
      <w:lvlText w:val="%2."/>
      <w:lvlJc w:val="left"/>
      <w:pPr>
        <w:tabs>
          <w:tab w:val="num" w:pos="2160"/>
        </w:tabs>
        <w:ind w:left="2160" w:hanging="360"/>
      </w:pPr>
      <w:rPr>
        <w:rFonts w:cs="Times New Roman"/>
      </w:rPr>
    </w:lvl>
    <w:lvl w:ilvl="2" w:tplc="04090005" w:tentative="1">
      <w:start w:val="1"/>
      <w:numFmt w:val="lowerRoman"/>
      <w:lvlText w:val="%3."/>
      <w:lvlJc w:val="right"/>
      <w:pPr>
        <w:tabs>
          <w:tab w:val="num" w:pos="2880"/>
        </w:tabs>
        <w:ind w:left="2880" w:hanging="180"/>
      </w:pPr>
      <w:rPr>
        <w:rFonts w:cs="Times New Roman"/>
      </w:rPr>
    </w:lvl>
    <w:lvl w:ilvl="3" w:tplc="04090001"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33" w15:restartNumberingAfterBreak="0">
    <w:nsid w:val="4A596DB6"/>
    <w:multiLevelType w:val="hybridMultilevel"/>
    <w:tmpl w:val="95A20552"/>
    <w:lvl w:ilvl="0" w:tplc="5386A460">
      <w:start w:val="1"/>
      <w:numFmt w:val="bullet"/>
      <w:pStyle w:val="Tabletext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B07D18"/>
    <w:multiLevelType w:val="hybridMultilevel"/>
    <w:tmpl w:val="3B6E7E62"/>
    <w:lvl w:ilvl="0" w:tplc="E0E8B2C0">
      <w:start w:val="1"/>
      <w:numFmt w:val="none"/>
      <w:pStyle w:val="Note1"/>
      <w:lvlText w:val="Note:  "/>
      <w:lvlJc w:val="left"/>
      <w:pPr>
        <w:tabs>
          <w:tab w:val="num" w:pos="1814"/>
        </w:tabs>
        <w:ind w:left="108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lowerLetter"/>
      <w:lvlText w:val="%2."/>
      <w:lvlJc w:val="left"/>
      <w:pPr>
        <w:tabs>
          <w:tab w:val="num" w:pos="1814"/>
        </w:tabs>
        <w:ind w:left="1814" w:hanging="360"/>
      </w:pPr>
    </w:lvl>
    <w:lvl w:ilvl="2" w:tplc="04090005" w:tentative="1">
      <w:start w:val="1"/>
      <w:numFmt w:val="lowerRoman"/>
      <w:lvlText w:val="%3."/>
      <w:lvlJc w:val="right"/>
      <w:pPr>
        <w:tabs>
          <w:tab w:val="num" w:pos="2534"/>
        </w:tabs>
        <w:ind w:left="2534" w:hanging="180"/>
      </w:pPr>
    </w:lvl>
    <w:lvl w:ilvl="3" w:tplc="04090001" w:tentative="1">
      <w:start w:val="1"/>
      <w:numFmt w:val="decimal"/>
      <w:lvlText w:val="%4."/>
      <w:lvlJc w:val="left"/>
      <w:pPr>
        <w:tabs>
          <w:tab w:val="num" w:pos="3254"/>
        </w:tabs>
        <w:ind w:left="3254" w:hanging="360"/>
      </w:pPr>
    </w:lvl>
    <w:lvl w:ilvl="4" w:tplc="04090003" w:tentative="1">
      <w:start w:val="1"/>
      <w:numFmt w:val="lowerLetter"/>
      <w:lvlText w:val="%5."/>
      <w:lvlJc w:val="left"/>
      <w:pPr>
        <w:tabs>
          <w:tab w:val="num" w:pos="3974"/>
        </w:tabs>
        <w:ind w:left="3974" w:hanging="360"/>
      </w:pPr>
    </w:lvl>
    <w:lvl w:ilvl="5" w:tplc="04090005" w:tentative="1">
      <w:start w:val="1"/>
      <w:numFmt w:val="lowerRoman"/>
      <w:lvlText w:val="%6."/>
      <w:lvlJc w:val="right"/>
      <w:pPr>
        <w:tabs>
          <w:tab w:val="num" w:pos="4694"/>
        </w:tabs>
        <w:ind w:left="4694" w:hanging="180"/>
      </w:pPr>
    </w:lvl>
    <w:lvl w:ilvl="6" w:tplc="04090001" w:tentative="1">
      <w:start w:val="1"/>
      <w:numFmt w:val="decimal"/>
      <w:lvlText w:val="%7."/>
      <w:lvlJc w:val="left"/>
      <w:pPr>
        <w:tabs>
          <w:tab w:val="num" w:pos="5414"/>
        </w:tabs>
        <w:ind w:left="5414" w:hanging="360"/>
      </w:pPr>
    </w:lvl>
    <w:lvl w:ilvl="7" w:tplc="04090003" w:tentative="1">
      <w:start w:val="1"/>
      <w:numFmt w:val="lowerLetter"/>
      <w:lvlText w:val="%8."/>
      <w:lvlJc w:val="left"/>
      <w:pPr>
        <w:tabs>
          <w:tab w:val="num" w:pos="6134"/>
        </w:tabs>
        <w:ind w:left="6134" w:hanging="360"/>
      </w:pPr>
    </w:lvl>
    <w:lvl w:ilvl="8" w:tplc="04090005" w:tentative="1">
      <w:start w:val="1"/>
      <w:numFmt w:val="lowerRoman"/>
      <w:lvlText w:val="%9."/>
      <w:lvlJc w:val="right"/>
      <w:pPr>
        <w:tabs>
          <w:tab w:val="num" w:pos="6854"/>
        </w:tabs>
        <w:ind w:left="6854" w:hanging="180"/>
      </w:pPr>
    </w:lvl>
  </w:abstractNum>
  <w:abstractNum w:abstractNumId="35" w15:restartNumberingAfterBreak="0">
    <w:nsid w:val="4BA70054"/>
    <w:multiLevelType w:val="hybridMultilevel"/>
    <w:tmpl w:val="64C2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D916CC"/>
    <w:multiLevelType w:val="hybridMultilevel"/>
    <w:tmpl w:val="669018F6"/>
    <w:lvl w:ilvl="0" w:tplc="DD1C22BC">
      <w:start w:val="1"/>
      <w:numFmt w:val="lowerLetter"/>
      <w:pStyle w:val="NumberedLevel2"/>
      <w:lvlText w:val="%1."/>
      <w:lvlJc w:val="left"/>
      <w:pPr>
        <w:tabs>
          <w:tab w:val="num" w:pos="1702"/>
        </w:tabs>
        <w:ind w:left="1702" w:hanging="426"/>
      </w:pPr>
      <w:rPr>
        <w:rFonts w:ascii="Century Schoolbook" w:hAnsi="Century Schoolbook" w:cs="Times New Roman" w:hint="default"/>
        <w:b w:val="0"/>
        <w:i w:val="0"/>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09367AB"/>
    <w:multiLevelType w:val="hybridMultilevel"/>
    <w:tmpl w:val="16DEB678"/>
    <w:lvl w:ilvl="0" w:tplc="A3E05CEC">
      <w:start w:val="1"/>
      <w:numFmt w:val="bullet"/>
      <w:pStyle w:val="tabletextbullet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3B0B81"/>
    <w:multiLevelType w:val="hybridMultilevel"/>
    <w:tmpl w:val="628CE9D0"/>
    <w:lvl w:ilvl="0" w:tplc="0409000F">
      <w:start w:val="1"/>
      <w:numFmt w:val="decimal"/>
      <w:lvlText w:val="%1."/>
      <w:lvlJc w:val="left"/>
      <w:pPr>
        <w:ind w:left="720" w:hanging="360"/>
      </w:pPr>
    </w:lvl>
    <w:lvl w:ilvl="1" w:tplc="75DC07B4">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311B02"/>
    <w:multiLevelType w:val="hybridMultilevel"/>
    <w:tmpl w:val="B2A2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794DF9"/>
    <w:multiLevelType w:val="hybridMultilevel"/>
    <w:tmpl w:val="4F8C3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486E89"/>
    <w:multiLevelType w:val="hybridMultilevel"/>
    <w:tmpl w:val="20F2655E"/>
    <w:lvl w:ilvl="0" w:tplc="4906C288">
      <w:start w:val="1"/>
      <w:numFmt w:val="decimal"/>
      <w:pStyle w:val="TableTitle"/>
      <w:lvlText w:val="Table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3A0FBF"/>
    <w:multiLevelType w:val="hybridMultilevel"/>
    <w:tmpl w:val="7FEA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BE7D37"/>
    <w:multiLevelType w:val="hybridMultilevel"/>
    <w:tmpl w:val="D4767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000688"/>
    <w:multiLevelType w:val="hybridMultilevel"/>
    <w:tmpl w:val="C8D42BC2"/>
    <w:styleLink w:val="StyleBulletList"/>
    <w:lvl w:ilvl="0" w:tplc="6B4A8A5C">
      <w:start w:val="1"/>
      <w:numFmt w:val="bullet"/>
      <w:lvlText w:val=""/>
      <w:lvlJc w:val="left"/>
      <w:pPr>
        <w:tabs>
          <w:tab w:val="num" w:pos="792"/>
        </w:tabs>
        <w:ind w:left="792" w:hanging="360"/>
      </w:pPr>
      <w:rPr>
        <w:rFonts w:ascii="Symbol" w:hAnsi="Symbol" w:hint="default"/>
      </w:rPr>
    </w:lvl>
    <w:lvl w:ilvl="1" w:tplc="5AE8E00C">
      <w:start w:val="1"/>
      <w:numFmt w:val="bullet"/>
      <w:lvlText w:val=""/>
      <w:lvlJc w:val="left"/>
      <w:pPr>
        <w:tabs>
          <w:tab w:val="num" w:pos="1440"/>
        </w:tabs>
        <w:ind w:left="1440" w:hanging="360"/>
      </w:pPr>
      <w:rPr>
        <w:rFonts w:ascii="Symbol" w:hAnsi="Symbol" w:hint="default"/>
      </w:rPr>
    </w:lvl>
    <w:lvl w:ilvl="2" w:tplc="D6AE5CF4">
      <w:start w:val="1"/>
      <w:numFmt w:val="bullet"/>
      <w:lvlText w:val=""/>
      <w:lvlJc w:val="left"/>
      <w:pPr>
        <w:tabs>
          <w:tab w:val="num" w:pos="2160"/>
        </w:tabs>
        <w:ind w:left="2160" w:hanging="360"/>
      </w:pPr>
      <w:rPr>
        <w:rFonts w:ascii="Symbol" w:hAnsi="Symbol" w:hint="default"/>
      </w:rPr>
    </w:lvl>
    <w:lvl w:ilvl="3" w:tplc="81C61CFA">
      <w:start w:val="1"/>
      <w:numFmt w:val="bullet"/>
      <w:lvlText w:val=""/>
      <w:lvlJc w:val="left"/>
      <w:pPr>
        <w:tabs>
          <w:tab w:val="num" w:pos="2880"/>
        </w:tabs>
        <w:ind w:left="2880" w:hanging="360"/>
      </w:pPr>
      <w:rPr>
        <w:rFonts w:ascii="Symbol" w:hAnsi="Symbol" w:hint="default"/>
      </w:rPr>
    </w:lvl>
    <w:lvl w:ilvl="4" w:tplc="057CBA32">
      <w:start w:val="1"/>
      <w:numFmt w:val="bullet"/>
      <w:lvlText w:val=""/>
      <w:lvlJc w:val="left"/>
      <w:pPr>
        <w:tabs>
          <w:tab w:val="num" w:pos="3600"/>
        </w:tabs>
        <w:ind w:left="3600" w:hanging="360"/>
      </w:pPr>
      <w:rPr>
        <w:rFonts w:ascii="Symbol" w:hAnsi="Symbol" w:hint="default"/>
      </w:rPr>
    </w:lvl>
    <w:lvl w:ilvl="5" w:tplc="8836E1EE">
      <w:start w:val="1"/>
      <w:numFmt w:val="bullet"/>
      <w:lvlText w:val=""/>
      <w:lvlJc w:val="left"/>
      <w:pPr>
        <w:tabs>
          <w:tab w:val="num" w:pos="4320"/>
        </w:tabs>
        <w:ind w:left="4320" w:hanging="360"/>
      </w:pPr>
      <w:rPr>
        <w:rFonts w:ascii="Symbol" w:hAnsi="Symbol" w:hint="default"/>
      </w:rPr>
    </w:lvl>
    <w:lvl w:ilvl="6" w:tplc="03B8258C">
      <w:start w:val="1"/>
      <w:numFmt w:val="bullet"/>
      <w:lvlText w:val=""/>
      <w:lvlJc w:val="left"/>
      <w:pPr>
        <w:tabs>
          <w:tab w:val="num" w:pos="5040"/>
        </w:tabs>
        <w:ind w:left="5040" w:hanging="360"/>
      </w:pPr>
      <w:rPr>
        <w:rFonts w:ascii="Symbol" w:hAnsi="Symbol" w:hint="default"/>
      </w:rPr>
    </w:lvl>
    <w:lvl w:ilvl="7" w:tplc="CCC2C510">
      <w:start w:val="1"/>
      <w:numFmt w:val="bullet"/>
      <w:lvlText w:val="o"/>
      <w:lvlJc w:val="left"/>
      <w:pPr>
        <w:tabs>
          <w:tab w:val="num" w:pos="5760"/>
        </w:tabs>
        <w:ind w:left="5760" w:hanging="360"/>
      </w:pPr>
      <w:rPr>
        <w:rFonts w:ascii="Courier New" w:hAnsi="Courier New" w:hint="default"/>
      </w:rPr>
    </w:lvl>
    <w:lvl w:ilvl="8" w:tplc="ABDCC6FE">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E610A5"/>
    <w:multiLevelType w:val="multilevel"/>
    <w:tmpl w:val="89448B9C"/>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6" w15:restartNumberingAfterBreak="0">
    <w:nsid w:val="73CC1968"/>
    <w:multiLevelType w:val="hybridMultilevel"/>
    <w:tmpl w:val="71DEDD4C"/>
    <w:lvl w:ilvl="0" w:tplc="640463B4">
      <w:start w:val="1"/>
      <w:numFmt w:val="decimal"/>
      <w:pStyle w:val="Figure"/>
      <w:lvlText w:val="Figure %1:"/>
      <w:lvlJc w:val="left"/>
      <w:pPr>
        <w:ind w:left="360" w:hanging="360"/>
      </w:pPr>
      <w:rPr>
        <w:b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6822E39"/>
    <w:multiLevelType w:val="hybridMultilevel"/>
    <w:tmpl w:val="0DB4192A"/>
    <w:lvl w:ilvl="0" w:tplc="D2A810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3A3088"/>
    <w:multiLevelType w:val="hybridMultilevel"/>
    <w:tmpl w:val="0F7EC1D8"/>
    <w:lvl w:ilvl="0" w:tplc="13F04018">
      <w:start w:val="1"/>
      <w:numFmt w:val="bullet"/>
      <w:pStyle w:val="BodyTextBullet"/>
      <w:lvlText w:val=""/>
      <w:lvlJc w:val="left"/>
      <w:pPr>
        <w:ind w:left="-187" w:hanging="360"/>
      </w:pPr>
      <w:rPr>
        <w:rFonts w:ascii="Symbol" w:hAnsi="Symbol" w:hint="default"/>
      </w:rPr>
    </w:lvl>
    <w:lvl w:ilvl="1" w:tplc="04090003">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49" w15:restartNumberingAfterBreak="0">
    <w:nsid w:val="7F50011D"/>
    <w:multiLevelType w:val="hybridMultilevel"/>
    <w:tmpl w:val="74BA80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34"/>
  </w:num>
  <w:num w:numId="4">
    <w:abstractNumId w:val="21"/>
  </w:num>
  <w:num w:numId="5">
    <w:abstractNumId w:val="15"/>
  </w:num>
  <w:num w:numId="6">
    <w:abstractNumId w:val="46"/>
  </w:num>
  <w:num w:numId="7">
    <w:abstractNumId w:val="19"/>
  </w:num>
  <w:num w:numId="8">
    <w:abstractNumId w:val="27"/>
  </w:num>
  <w:num w:numId="9">
    <w:abstractNumId w:val="16"/>
    <w:lvlOverride w:ilvl="0">
      <w:startOverride w:val="1"/>
    </w:lvlOverride>
  </w:num>
  <w:num w:numId="10">
    <w:abstractNumId w:val="1"/>
  </w:num>
  <w:num w:numId="11">
    <w:abstractNumId w:val="11"/>
  </w:num>
  <w:num w:numId="12">
    <w:abstractNumId w:val="28"/>
  </w:num>
  <w:num w:numId="13">
    <w:abstractNumId w:val="48"/>
  </w:num>
  <w:num w:numId="14">
    <w:abstractNumId w:val="15"/>
    <w:lvlOverride w:ilvl="1">
      <w:lvl w:ilvl="1">
        <w:start w:val="1"/>
        <w:numFmt w:val="decimal"/>
        <w:pStyle w:val="Heading2"/>
        <w:lvlText w:val="%1.%2"/>
        <w:lvlJc w:val="left"/>
        <w:pPr>
          <w:ind w:left="1170" w:hanging="360"/>
        </w:pPr>
        <w:rPr>
          <w:rFonts w:hint="default"/>
        </w:rPr>
      </w:lvl>
    </w:lvlOverride>
  </w:num>
  <w:num w:numId="15">
    <w:abstractNumId w:val="41"/>
  </w:num>
  <w:num w:numId="16">
    <w:abstractNumId w:val="0"/>
  </w:num>
  <w:num w:numId="17">
    <w:abstractNumId w:val="32"/>
  </w:num>
  <w:num w:numId="18">
    <w:abstractNumId w:val="45"/>
  </w:num>
  <w:num w:numId="19">
    <w:abstractNumId w:val="29"/>
  </w:num>
  <w:num w:numId="20">
    <w:abstractNumId w:val="44"/>
  </w:num>
  <w:num w:numId="21">
    <w:abstractNumId w:val="36"/>
  </w:num>
  <w:num w:numId="22">
    <w:abstractNumId w:val="12"/>
  </w:num>
  <w:num w:numId="23">
    <w:abstractNumId w:val="23"/>
  </w:num>
  <w:num w:numId="24">
    <w:abstractNumId w:val="30"/>
  </w:num>
  <w:num w:numId="25">
    <w:abstractNumId w:val="37"/>
  </w:num>
  <w:num w:numId="26">
    <w:abstractNumId w:val="25"/>
  </w:num>
  <w:num w:numId="27">
    <w:abstractNumId w:val="33"/>
  </w:num>
  <w:num w:numId="28">
    <w:abstractNumId w:val="39"/>
  </w:num>
  <w:num w:numId="29">
    <w:abstractNumId w:val="38"/>
  </w:num>
  <w:num w:numId="30">
    <w:abstractNumId w:val="22"/>
  </w:num>
  <w:num w:numId="31">
    <w:abstractNumId w:val="47"/>
  </w:num>
  <w:num w:numId="32">
    <w:abstractNumId w:val="9"/>
  </w:num>
  <w:num w:numId="33">
    <w:abstractNumId w:val="10"/>
  </w:num>
  <w:num w:numId="34">
    <w:abstractNumId w:val="13"/>
  </w:num>
  <w:num w:numId="35">
    <w:abstractNumId w:val="4"/>
  </w:num>
  <w:num w:numId="36">
    <w:abstractNumId w:val="14"/>
  </w:num>
  <w:num w:numId="37">
    <w:abstractNumId w:val="26"/>
  </w:num>
  <w:num w:numId="38">
    <w:abstractNumId w:val="35"/>
  </w:num>
  <w:num w:numId="39">
    <w:abstractNumId w:val="17"/>
  </w:num>
  <w:num w:numId="40">
    <w:abstractNumId w:val="24"/>
  </w:num>
  <w:num w:numId="41">
    <w:abstractNumId w:val="20"/>
  </w:num>
  <w:num w:numId="42">
    <w:abstractNumId w:val="15"/>
    <w:lvlOverride w:ilvl="1">
      <w:lvl w:ilvl="1">
        <w:start w:val="1"/>
        <w:numFmt w:val="decimal"/>
        <w:pStyle w:val="Heading2"/>
        <w:lvlText w:val="%1.%2"/>
        <w:lvlJc w:val="left"/>
        <w:pPr>
          <w:ind w:left="3420" w:hanging="360"/>
        </w:pPr>
        <w:rPr>
          <w:rFonts w:hint="default"/>
        </w:rPr>
      </w:lvl>
    </w:lvlOverride>
  </w:num>
  <w:num w:numId="43">
    <w:abstractNumId w:val="42"/>
  </w:num>
  <w:num w:numId="44">
    <w:abstractNumId w:val="18"/>
  </w:num>
  <w:num w:numId="45">
    <w:abstractNumId w:val="49"/>
  </w:num>
  <w:num w:numId="46">
    <w:abstractNumId w:val="40"/>
  </w:num>
  <w:num w:numId="47">
    <w:abstractNumId w:val="43"/>
  </w:num>
  <w:num w:numId="48">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edit="comments" w:enforcement="1" w:cryptProviderType="rsaAES" w:cryptAlgorithmClass="hash" w:cryptAlgorithmType="typeAny" w:cryptAlgorithmSid="14" w:cryptSpinCount="100000" w:hash="zeAk7EjCdIdg4GGzgDjxus8S5x/DbhTsF6Z3vGoAyykpdWxRmXEZUN7Ik/KlOF00g5qvEuolbKNGp24i+c6ffw==" w:salt="qymC/+F4noTOza+GhSss8A=="/>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990"/>
    <w:rsid w:val="000004BE"/>
    <w:rsid w:val="00000543"/>
    <w:rsid w:val="0000072B"/>
    <w:rsid w:val="00000F09"/>
    <w:rsid w:val="00001152"/>
    <w:rsid w:val="00001373"/>
    <w:rsid w:val="000028B9"/>
    <w:rsid w:val="00002AC5"/>
    <w:rsid w:val="00003134"/>
    <w:rsid w:val="00003E50"/>
    <w:rsid w:val="00003FB1"/>
    <w:rsid w:val="0000474A"/>
    <w:rsid w:val="00004751"/>
    <w:rsid w:val="00004D90"/>
    <w:rsid w:val="00005BD9"/>
    <w:rsid w:val="00006256"/>
    <w:rsid w:val="000062F6"/>
    <w:rsid w:val="000063D8"/>
    <w:rsid w:val="0000692F"/>
    <w:rsid w:val="000070D1"/>
    <w:rsid w:val="00007588"/>
    <w:rsid w:val="000076D8"/>
    <w:rsid w:val="00007A0E"/>
    <w:rsid w:val="00007E35"/>
    <w:rsid w:val="00011174"/>
    <w:rsid w:val="000118C5"/>
    <w:rsid w:val="00011C3A"/>
    <w:rsid w:val="00011D26"/>
    <w:rsid w:val="000125D7"/>
    <w:rsid w:val="00012E6B"/>
    <w:rsid w:val="00012F0D"/>
    <w:rsid w:val="00013DBA"/>
    <w:rsid w:val="00014724"/>
    <w:rsid w:val="0001486A"/>
    <w:rsid w:val="000151C7"/>
    <w:rsid w:val="00015DC6"/>
    <w:rsid w:val="00015EBA"/>
    <w:rsid w:val="000162A9"/>
    <w:rsid w:val="00016C91"/>
    <w:rsid w:val="0001707E"/>
    <w:rsid w:val="00017710"/>
    <w:rsid w:val="00017798"/>
    <w:rsid w:val="000179ED"/>
    <w:rsid w:val="00017A97"/>
    <w:rsid w:val="00017F86"/>
    <w:rsid w:val="000208FE"/>
    <w:rsid w:val="00021B4E"/>
    <w:rsid w:val="000225CF"/>
    <w:rsid w:val="00022927"/>
    <w:rsid w:val="000233F9"/>
    <w:rsid w:val="00023509"/>
    <w:rsid w:val="00023C6D"/>
    <w:rsid w:val="00023CFF"/>
    <w:rsid w:val="00023F31"/>
    <w:rsid w:val="000244B5"/>
    <w:rsid w:val="0002490F"/>
    <w:rsid w:val="000249BA"/>
    <w:rsid w:val="00024AB6"/>
    <w:rsid w:val="00024D47"/>
    <w:rsid w:val="0002508F"/>
    <w:rsid w:val="00025463"/>
    <w:rsid w:val="0002767F"/>
    <w:rsid w:val="000276A1"/>
    <w:rsid w:val="000278B9"/>
    <w:rsid w:val="00027DC5"/>
    <w:rsid w:val="0003033A"/>
    <w:rsid w:val="000306CC"/>
    <w:rsid w:val="00030995"/>
    <w:rsid w:val="000312CF"/>
    <w:rsid w:val="00031334"/>
    <w:rsid w:val="00031AC0"/>
    <w:rsid w:val="00031B12"/>
    <w:rsid w:val="000322DB"/>
    <w:rsid w:val="00032930"/>
    <w:rsid w:val="00033284"/>
    <w:rsid w:val="00033646"/>
    <w:rsid w:val="0003379A"/>
    <w:rsid w:val="000337DE"/>
    <w:rsid w:val="000346B3"/>
    <w:rsid w:val="00034A97"/>
    <w:rsid w:val="00034D78"/>
    <w:rsid w:val="00034F75"/>
    <w:rsid w:val="000353F1"/>
    <w:rsid w:val="00036B73"/>
    <w:rsid w:val="00037175"/>
    <w:rsid w:val="000374D5"/>
    <w:rsid w:val="000377DE"/>
    <w:rsid w:val="0004019F"/>
    <w:rsid w:val="000407E7"/>
    <w:rsid w:val="00041FD5"/>
    <w:rsid w:val="00042571"/>
    <w:rsid w:val="00042D3C"/>
    <w:rsid w:val="00043174"/>
    <w:rsid w:val="000434A2"/>
    <w:rsid w:val="00043707"/>
    <w:rsid w:val="00043951"/>
    <w:rsid w:val="00044C75"/>
    <w:rsid w:val="00044FBD"/>
    <w:rsid w:val="00045B1D"/>
    <w:rsid w:val="00045B5A"/>
    <w:rsid w:val="00045D28"/>
    <w:rsid w:val="00046A15"/>
    <w:rsid w:val="00046D3C"/>
    <w:rsid w:val="00046D74"/>
    <w:rsid w:val="00046FA3"/>
    <w:rsid w:val="00047000"/>
    <w:rsid w:val="00047BB7"/>
    <w:rsid w:val="00050340"/>
    <w:rsid w:val="000509B4"/>
    <w:rsid w:val="00050C83"/>
    <w:rsid w:val="00050D1F"/>
    <w:rsid w:val="00050DF6"/>
    <w:rsid w:val="0005176E"/>
    <w:rsid w:val="00051F5D"/>
    <w:rsid w:val="00052136"/>
    <w:rsid w:val="000526A3"/>
    <w:rsid w:val="00052EE4"/>
    <w:rsid w:val="000532F5"/>
    <w:rsid w:val="00054387"/>
    <w:rsid w:val="000548F0"/>
    <w:rsid w:val="00054D28"/>
    <w:rsid w:val="00055107"/>
    <w:rsid w:val="000556C4"/>
    <w:rsid w:val="000558A2"/>
    <w:rsid w:val="00056D16"/>
    <w:rsid w:val="000575E5"/>
    <w:rsid w:val="000605BA"/>
    <w:rsid w:val="00060D86"/>
    <w:rsid w:val="00061B88"/>
    <w:rsid w:val="00061F96"/>
    <w:rsid w:val="000621F9"/>
    <w:rsid w:val="00062416"/>
    <w:rsid w:val="000627B1"/>
    <w:rsid w:val="00062BDC"/>
    <w:rsid w:val="00063379"/>
    <w:rsid w:val="000638D8"/>
    <w:rsid w:val="00063A07"/>
    <w:rsid w:val="00063C10"/>
    <w:rsid w:val="00064762"/>
    <w:rsid w:val="0006573E"/>
    <w:rsid w:val="0006653B"/>
    <w:rsid w:val="000666BB"/>
    <w:rsid w:val="00067163"/>
    <w:rsid w:val="0006726F"/>
    <w:rsid w:val="00067610"/>
    <w:rsid w:val="0006778A"/>
    <w:rsid w:val="00067DDA"/>
    <w:rsid w:val="000707DE"/>
    <w:rsid w:val="0007083C"/>
    <w:rsid w:val="000714B4"/>
    <w:rsid w:val="00071554"/>
    <w:rsid w:val="00071B21"/>
    <w:rsid w:val="000724FE"/>
    <w:rsid w:val="0007259C"/>
    <w:rsid w:val="00072A82"/>
    <w:rsid w:val="00072FBC"/>
    <w:rsid w:val="00073299"/>
    <w:rsid w:val="00073F2A"/>
    <w:rsid w:val="00073F4D"/>
    <w:rsid w:val="00074010"/>
    <w:rsid w:val="00074011"/>
    <w:rsid w:val="00074C0B"/>
    <w:rsid w:val="00074E34"/>
    <w:rsid w:val="00075245"/>
    <w:rsid w:val="00075CF1"/>
    <w:rsid w:val="000762F5"/>
    <w:rsid w:val="00076365"/>
    <w:rsid w:val="00076461"/>
    <w:rsid w:val="000764B0"/>
    <w:rsid w:val="00076563"/>
    <w:rsid w:val="00076949"/>
    <w:rsid w:val="00076C7E"/>
    <w:rsid w:val="00076EF3"/>
    <w:rsid w:val="00080EC3"/>
    <w:rsid w:val="00080ED0"/>
    <w:rsid w:val="00082C4A"/>
    <w:rsid w:val="00082D42"/>
    <w:rsid w:val="00083299"/>
    <w:rsid w:val="0008366D"/>
    <w:rsid w:val="0008388C"/>
    <w:rsid w:val="00084CAE"/>
    <w:rsid w:val="00084F6A"/>
    <w:rsid w:val="000851FF"/>
    <w:rsid w:val="00085546"/>
    <w:rsid w:val="00085686"/>
    <w:rsid w:val="000857E1"/>
    <w:rsid w:val="00085F3F"/>
    <w:rsid w:val="00086DB3"/>
    <w:rsid w:val="00086F79"/>
    <w:rsid w:val="00087383"/>
    <w:rsid w:val="000902EC"/>
    <w:rsid w:val="000908D6"/>
    <w:rsid w:val="00091358"/>
    <w:rsid w:val="000913D4"/>
    <w:rsid w:val="00091586"/>
    <w:rsid w:val="000919FE"/>
    <w:rsid w:val="00091DB9"/>
    <w:rsid w:val="000922D1"/>
    <w:rsid w:val="000923BD"/>
    <w:rsid w:val="00092F37"/>
    <w:rsid w:val="00092FAF"/>
    <w:rsid w:val="000935FA"/>
    <w:rsid w:val="000936AA"/>
    <w:rsid w:val="000936F1"/>
    <w:rsid w:val="00094643"/>
    <w:rsid w:val="000956DD"/>
    <w:rsid w:val="00095CBC"/>
    <w:rsid w:val="00095D80"/>
    <w:rsid w:val="00095F9C"/>
    <w:rsid w:val="00096798"/>
    <w:rsid w:val="000968A2"/>
    <w:rsid w:val="00097D0A"/>
    <w:rsid w:val="000A0072"/>
    <w:rsid w:val="000A041A"/>
    <w:rsid w:val="000A047A"/>
    <w:rsid w:val="000A0983"/>
    <w:rsid w:val="000A13C0"/>
    <w:rsid w:val="000A1714"/>
    <w:rsid w:val="000A191D"/>
    <w:rsid w:val="000A2AD3"/>
    <w:rsid w:val="000A2D59"/>
    <w:rsid w:val="000A375E"/>
    <w:rsid w:val="000A3D3D"/>
    <w:rsid w:val="000A3EA4"/>
    <w:rsid w:val="000A3FA2"/>
    <w:rsid w:val="000A3FE0"/>
    <w:rsid w:val="000A4021"/>
    <w:rsid w:val="000A42BC"/>
    <w:rsid w:val="000A4DEC"/>
    <w:rsid w:val="000A4E0D"/>
    <w:rsid w:val="000A60DF"/>
    <w:rsid w:val="000A618C"/>
    <w:rsid w:val="000A63CC"/>
    <w:rsid w:val="000A6D2D"/>
    <w:rsid w:val="000B0737"/>
    <w:rsid w:val="000B0E9C"/>
    <w:rsid w:val="000B1738"/>
    <w:rsid w:val="000B275D"/>
    <w:rsid w:val="000B2F2C"/>
    <w:rsid w:val="000B3A5F"/>
    <w:rsid w:val="000B3BD5"/>
    <w:rsid w:val="000B3DBE"/>
    <w:rsid w:val="000B46A0"/>
    <w:rsid w:val="000B471B"/>
    <w:rsid w:val="000B48B8"/>
    <w:rsid w:val="000B4A4B"/>
    <w:rsid w:val="000B4F62"/>
    <w:rsid w:val="000B50C3"/>
    <w:rsid w:val="000B5B56"/>
    <w:rsid w:val="000B63CB"/>
    <w:rsid w:val="000B683C"/>
    <w:rsid w:val="000B6DA5"/>
    <w:rsid w:val="000B7A6B"/>
    <w:rsid w:val="000B7E12"/>
    <w:rsid w:val="000B7E70"/>
    <w:rsid w:val="000C016F"/>
    <w:rsid w:val="000C043C"/>
    <w:rsid w:val="000C1983"/>
    <w:rsid w:val="000C35C5"/>
    <w:rsid w:val="000C35F3"/>
    <w:rsid w:val="000C381E"/>
    <w:rsid w:val="000C4144"/>
    <w:rsid w:val="000C5015"/>
    <w:rsid w:val="000C502C"/>
    <w:rsid w:val="000C50DC"/>
    <w:rsid w:val="000C67FB"/>
    <w:rsid w:val="000C6EF7"/>
    <w:rsid w:val="000C6F53"/>
    <w:rsid w:val="000C6FFD"/>
    <w:rsid w:val="000C731F"/>
    <w:rsid w:val="000C7622"/>
    <w:rsid w:val="000C7B45"/>
    <w:rsid w:val="000C7C5B"/>
    <w:rsid w:val="000D0070"/>
    <w:rsid w:val="000D195B"/>
    <w:rsid w:val="000D1D8A"/>
    <w:rsid w:val="000D1F55"/>
    <w:rsid w:val="000D2219"/>
    <w:rsid w:val="000D2B1F"/>
    <w:rsid w:val="000D2D70"/>
    <w:rsid w:val="000D3762"/>
    <w:rsid w:val="000D3935"/>
    <w:rsid w:val="000D3BD7"/>
    <w:rsid w:val="000D489C"/>
    <w:rsid w:val="000D5277"/>
    <w:rsid w:val="000D53E9"/>
    <w:rsid w:val="000D5416"/>
    <w:rsid w:val="000D5455"/>
    <w:rsid w:val="000D55AA"/>
    <w:rsid w:val="000D594A"/>
    <w:rsid w:val="000D5A27"/>
    <w:rsid w:val="000D5D54"/>
    <w:rsid w:val="000D5FFA"/>
    <w:rsid w:val="000D6027"/>
    <w:rsid w:val="000D63C1"/>
    <w:rsid w:val="000D6A1A"/>
    <w:rsid w:val="000D6DE7"/>
    <w:rsid w:val="000D7333"/>
    <w:rsid w:val="000D770E"/>
    <w:rsid w:val="000D7768"/>
    <w:rsid w:val="000D7AE2"/>
    <w:rsid w:val="000D7F14"/>
    <w:rsid w:val="000E1465"/>
    <w:rsid w:val="000E1FC4"/>
    <w:rsid w:val="000E23A1"/>
    <w:rsid w:val="000E275E"/>
    <w:rsid w:val="000E2958"/>
    <w:rsid w:val="000E31DC"/>
    <w:rsid w:val="000E3621"/>
    <w:rsid w:val="000E41FB"/>
    <w:rsid w:val="000E4DAE"/>
    <w:rsid w:val="000E60CC"/>
    <w:rsid w:val="000E6185"/>
    <w:rsid w:val="000E6335"/>
    <w:rsid w:val="000E6C32"/>
    <w:rsid w:val="000E6D98"/>
    <w:rsid w:val="000E7697"/>
    <w:rsid w:val="000E7B74"/>
    <w:rsid w:val="000E7D15"/>
    <w:rsid w:val="000E7FA3"/>
    <w:rsid w:val="000F04CD"/>
    <w:rsid w:val="000F0A05"/>
    <w:rsid w:val="000F0B8D"/>
    <w:rsid w:val="000F1296"/>
    <w:rsid w:val="000F1449"/>
    <w:rsid w:val="000F1FAA"/>
    <w:rsid w:val="000F280E"/>
    <w:rsid w:val="000F2C82"/>
    <w:rsid w:val="000F3034"/>
    <w:rsid w:val="000F3966"/>
    <w:rsid w:val="000F4435"/>
    <w:rsid w:val="000F445A"/>
    <w:rsid w:val="000F45ED"/>
    <w:rsid w:val="000F5917"/>
    <w:rsid w:val="000F61DD"/>
    <w:rsid w:val="000F6328"/>
    <w:rsid w:val="000F64B7"/>
    <w:rsid w:val="000F6ABC"/>
    <w:rsid w:val="000F7599"/>
    <w:rsid w:val="00100C03"/>
    <w:rsid w:val="0010121C"/>
    <w:rsid w:val="00101A51"/>
    <w:rsid w:val="00102051"/>
    <w:rsid w:val="001024ED"/>
    <w:rsid w:val="001025FC"/>
    <w:rsid w:val="001026C8"/>
    <w:rsid w:val="00103164"/>
    <w:rsid w:val="0010333E"/>
    <w:rsid w:val="00103419"/>
    <w:rsid w:val="00103453"/>
    <w:rsid w:val="001036BA"/>
    <w:rsid w:val="00103880"/>
    <w:rsid w:val="0010432A"/>
    <w:rsid w:val="001045DC"/>
    <w:rsid w:val="0010481F"/>
    <w:rsid w:val="001048E4"/>
    <w:rsid w:val="0010510E"/>
    <w:rsid w:val="001058C6"/>
    <w:rsid w:val="001060C0"/>
    <w:rsid w:val="0010704E"/>
    <w:rsid w:val="001075AB"/>
    <w:rsid w:val="001079E6"/>
    <w:rsid w:val="00110495"/>
    <w:rsid w:val="00110777"/>
    <w:rsid w:val="00110E1A"/>
    <w:rsid w:val="00111141"/>
    <w:rsid w:val="00111355"/>
    <w:rsid w:val="001114CA"/>
    <w:rsid w:val="00111C39"/>
    <w:rsid w:val="00111E73"/>
    <w:rsid w:val="001124DF"/>
    <w:rsid w:val="00112DA2"/>
    <w:rsid w:val="001130F2"/>
    <w:rsid w:val="00113A35"/>
    <w:rsid w:val="00113E14"/>
    <w:rsid w:val="0011410E"/>
    <w:rsid w:val="00114C7C"/>
    <w:rsid w:val="00115B4B"/>
    <w:rsid w:val="001165DA"/>
    <w:rsid w:val="00116AA2"/>
    <w:rsid w:val="00116CBA"/>
    <w:rsid w:val="00117118"/>
    <w:rsid w:val="00117310"/>
    <w:rsid w:val="00117875"/>
    <w:rsid w:val="00117D89"/>
    <w:rsid w:val="00120FF8"/>
    <w:rsid w:val="001216C0"/>
    <w:rsid w:val="001218FD"/>
    <w:rsid w:val="00121D46"/>
    <w:rsid w:val="001220E8"/>
    <w:rsid w:val="0012219B"/>
    <w:rsid w:val="001225AC"/>
    <w:rsid w:val="0012262A"/>
    <w:rsid w:val="001227D8"/>
    <w:rsid w:val="00122F8C"/>
    <w:rsid w:val="00123B12"/>
    <w:rsid w:val="00123F89"/>
    <w:rsid w:val="001241D4"/>
    <w:rsid w:val="00124201"/>
    <w:rsid w:val="00124D58"/>
    <w:rsid w:val="00124D82"/>
    <w:rsid w:val="0012511F"/>
    <w:rsid w:val="0012547D"/>
    <w:rsid w:val="001254C1"/>
    <w:rsid w:val="001257CA"/>
    <w:rsid w:val="00126768"/>
    <w:rsid w:val="001268A5"/>
    <w:rsid w:val="00127088"/>
    <w:rsid w:val="0012789B"/>
    <w:rsid w:val="00127D06"/>
    <w:rsid w:val="00127D82"/>
    <w:rsid w:val="001302CB"/>
    <w:rsid w:val="00130766"/>
    <w:rsid w:val="0013092D"/>
    <w:rsid w:val="00130C0D"/>
    <w:rsid w:val="00130F0D"/>
    <w:rsid w:val="00131687"/>
    <w:rsid w:val="00131B49"/>
    <w:rsid w:val="00131DEA"/>
    <w:rsid w:val="00132043"/>
    <w:rsid w:val="00132181"/>
    <w:rsid w:val="001336EA"/>
    <w:rsid w:val="0013370F"/>
    <w:rsid w:val="00133B91"/>
    <w:rsid w:val="00133C53"/>
    <w:rsid w:val="00133C61"/>
    <w:rsid w:val="00134743"/>
    <w:rsid w:val="00134865"/>
    <w:rsid w:val="00135247"/>
    <w:rsid w:val="00135414"/>
    <w:rsid w:val="00135488"/>
    <w:rsid w:val="00135D66"/>
    <w:rsid w:val="0013656C"/>
    <w:rsid w:val="001365BC"/>
    <w:rsid w:val="00136BCA"/>
    <w:rsid w:val="00136C6D"/>
    <w:rsid w:val="001371C3"/>
    <w:rsid w:val="00140716"/>
    <w:rsid w:val="001414B8"/>
    <w:rsid w:val="001417AB"/>
    <w:rsid w:val="00141A32"/>
    <w:rsid w:val="00141D6A"/>
    <w:rsid w:val="00141FF0"/>
    <w:rsid w:val="001422B5"/>
    <w:rsid w:val="00142EDB"/>
    <w:rsid w:val="0014424D"/>
    <w:rsid w:val="0014429E"/>
    <w:rsid w:val="00144C19"/>
    <w:rsid w:val="00144C34"/>
    <w:rsid w:val="00144C92"/>
    <w:rsid w:val="00144F67"/>
    <w:rsid w:val="00144F90"/>
    <w:rsid w:val="001458B1"/>
    <w:rsid w:val="00146365"/>
    <w:rsid w:val="00146460"/>
    <w:rsid w:val="001468DD"/>
    <w:rsid w:val="00146D88"/>
    <w:rsid w:val="00146DF1"/>
    <w:rsid w:val="001472B6"/>
    <w:rsid w:val="00151503"/>
    <w:rsid w:val="00151CF9"/>
    <w:rsid w:val="00151F29"/>
    <w:rsid w:val="00152195"/>
    <w:rsid w:val="00152B40"/>
    <w:rsid w:val="00152BB3"/>
    <w:rsid w:val="001531D7"/>
    <w:rsid w:val="00153673"/>
    <w:rsid w:val="001537D7"/>
    <w:rsid w:val="00153EB5"/>
    <w:rsid w:val="00154291"/>
    <w:rsid w:val="001543F3"/>
    <w:rsid w:val="001548CD"/>
    <w:rsid w:val="001548EC"/>
    <w:rsid w:val="00154CEB"/>
    <w:rsid w:val="00155D1E"/>
    <w:rsid w:val="00156196"/>
    <w:rsid w:val="001566FD"/>
    <w:rsid w:val="00156A51"/>
    <w:rsid w:val="00156B48"/>
    <w:rsid w:val="00156DFE"/>
    <w:rsid w:val="00156FDF"/>
    <w:rsid w:val="0015727B"/>
    <w:rsid w:val="00157888"/>
    <w:rsid w:val="001579A1"/>
    <w:rsid w:val="00160307"/>
    <w:rsid w:val="00160C45"/>
    <w:rsid w:val="0016137F"/>
    <w:rsid w:val="00161512"/>
    <w:rsid w:val="00161CA2"/>
    <w:rsid w:val="00161D45"/>
    <w:rsid w:val="00161EF8"/>
    <w:rsid w:val="0016253D"/>
    <w:rsid w:val="001627C6"/>
    <w:rsid w:val="001629A1"/>
    <w:rsid w:val="0016301B"/>
    <w:rsid w:val="001634F6"/>
    <w:rsid w:val="00164C54"/>
    <w:rsid w:val="001658D0"/>
    <w:rsid w:val="00165C2C"/>
    <w:rsid w:val="001664B2"/>
    <w:rsid w:val="001666F5"/>
    <w:rsid w:val="00166E5D"/>
    <w:rsid w:val="00166FE9"/>
    <w:rsid w:val="0016719E"/>
    <w:rsid w:val="00167250"/>
    <w:rsid w:val="00167A1A"/>
    <w:rsid w:val="00167F22"/>
    <w:rsid w:val="001700B5"/>
    <w:rsid w:val="001703B3"/>
    <w:rsid w:val="00170C45"/>
    <w:rsid w:val="00170CB0"/>
    <w:rsid w:val="0017167C"/>
    <w:rsid w:val="00171700"/>
    <w:rsid w:val="00172C6A"/>
    <w:rsid w:val="00172DD2"/>
    <w:rsid w:val="00173E10"/>
    <w:rsid w:val="00174504"/>
    <w:rsid w:val="00174686"/>
    <w:rsid w:val="0017573B"/>
    <w:rsid w:val="0017626A"/>
    <w:rsid w:val="0017652E"/>
    <w:rsid w:val="00177118"/>
    <w:rsid w:val="001774DD"/>
    <w:rsid w:val="00177C1D"/>
    <w:rsid w:val="00177D25"/>
    <w:rsid w:val="00180BF3"/>
    <w:rsid w:val="00181129"/>
    <w:rsid w:val="001813F2"/>
    <w:rsid w:val="00181A74"/>
    <w:rsid w:val="0018338C"/>
    <w:rsid w:val="0018397B"/>
    <w:rsid w:val="00183B6C"/>
    <w:rsid w:val="00183FC2"/>
    <w:rsid w:val="001845B7"/>
    <w:rsid w:val="001846C5"/>
    <w:rsid w:val="001849D9"/>
    <w:rsid w:val="00184FC4"/>
    <w:rsid w:val="00185EEA"/>
    <w:rsid w:val="001861D4"/>
    <w:rsid w:val="00187524"/>
    <w:rsid w:val="00187F00"/>
    <w:rsid w:val="00190DD4"/>
    <w:rsid w:val="00191179"/>
    <w:rsid w:val="00191296"/>
    <w:rsid w:val="0019158E"/>
    <w:rsid w:val="00191695"/>
    <w:rsid w:val="001918DB"/>
    <w:rsid w:val="00191B79"/>
    <w:rsid w:val="00191FD9"/>
    <w:rsid w:val="0019214A"/>
    <w:rsid w:val="001930F1"/>
    <w:rsid w:val="0019409E"/>
    <w:rsid w:val="00194245"/>
    <w:rsid w:val="00194B91"/>
    <w:rsid w:val="001958D7"/>
    <w:rsid w:val="00195AE6"/>
    <w:rsid w:val="001965BC"/>
    <w:rsid w:val="00196771"/>
    <w:rsid w:val="00196901"/>
    <w:rsid w:val="00196AA6"/>
    <w:rsid w:val="00196F0E"/>
    <w:rsid w:val="0019774B"/>
    <w:rsid w:val="00197F81"/>
    <w:rsid w:val="001A0532"/>
    <w:rsid w:val="001A1335"/>
    <w:rsid w:val="001A1388"/>
    <w:rsid w:val="001A2CEC"/>
    <w:rsid w:val="001A359D"/>
    <w:rsid w:val="001A44B9"/>
    <w:rsid w:val="001A480C"/>
    <w:rsid w:val="001A545B"/>
    <w:rsid w:val="001A6640"/>
    <w:rsid w:val="001A6A8C"/>
    <w:rsid w:val="001A6D91"/>
    <w:rsid w:val="001A7228"/>
    <w:rsid w:val="001A75BC"/>
    <w:rsid w:val="001A7AF3"/>
    <w:rsid w:val="001B0635"/>
    <w:rsid w:val="001B08B3"/>
    <w:rsid w:val="001B09BE"/>
    <w:rsid w:val="001B0EC1"/>
    <w:rsid w:val="001B1027"/>
    <w:rsid w:val="001B14FC"/>
    <w:rsid w:val="001B1608"/>
    <w:rsid w:val="001B166A"/>
    <w:rsid w:val="001B1C32"/>
    <w:rsid w:val="001B2028"/>
    <w:rsid w:val="001B2143"/>
    <w:rsid w:val="001B2569"/>
    <w:rsid w:val="001B3721"/>
    <w:rsid w:val="001B3D1B"/>
    <w:rsid w:val="001B49D2"/>
    <w:rsid w:val="001B537E"/>
    <w:rsid w:val="001B69C2"/>
    <w:rsid w:val="001B6E8D"/>
    <w:rsid w:val="001B76D3"/>
    <w:rsid w:val="001C0159"/>
    <w:rsid w:val="001C0AAE"/>
    <w:rsid w:val="001C105D"/>
    <w:rsid w:val="001C12B2"/>
    <w:rsid w:val="001C1378"/>
    <w:rsid w:val="001C1FD3"/>
    <w:rsid w:val="001C25D9"/>
    <w:rsid w:val="001C2B73"/>
    <w:rsid w:val="001C3C09"/>
    <w:rsid w:val="001C3DDB"/>
    <w:rsid w:val="001C3FC6"/>
    <w:rsid w:val="001C420E"/>
    <w:rsid w:val="001C45B0"/>
    <w:rsid w:val="001C476D"/>
    <w:rsid w:val="001C4D5C"/>
    <w:rsid w:val="001C4F30"/>
    <w:rsid w:val="001C52F6"/>
    <w:rsid w:val="001C5770"/>
    <w:rsid w:val="001C59E7"/>
    <w:rsid w:val="001C5A44"/>
    <w:rsid w:val="001C5C53"/>
    <w:rsid w:val="001C6BEE"/>
    <w:rsid w:val="001C6E18"/>
    <w:rsid w:val="001C72DC"/>
    <w:rsid w:val="001C72F6"/>
    <w:rsid w:val="001C75F8"/>
    <w:rsid w:val="001C7B21"/>
    <w:rsid w:val="001D05B1"/>
    <w:rsid w:val="001D0CAA"/>
    <w:rsid w:val="001D1713"/>
    <w:rsid w:val="001D1C6C"/>
    <w:rsid w:val="001D2071"/>
    <w:rsid w:val="001D2783"/>
    <w:rsid w:val="001D285C"/>
    <w:rsid w:val="001D2C55"/>
    <w:rsid w:val="001D45A7"/>
    <w:rsid w:val="001D4C7B"/>
    <w:rsid w:val="001D5077"/>
    <w:rsid w:val="001D52C5"/>
    <w:rsid w:val="001D5ED5"/>
    <w:rsid w:val="001D642B"/>
    <w:rsid w:val="001D642C"/>
    <w:rsid w:val="001D66D5"/>
    <w:rsid w:val="001D6980"/>
    <w:rsid w:val="001D6A53"/>
    <w:rsid w:val="001D6EF9"/>
    <w:rsid w:val="001D79A7"/>
    <w:rsid w:val="001E0311"/>
    <w:rsid w:val="001E0B89"/>
    <w:rsid w:val="001E179F"/>
    <w:rsid w:val="001E2C91"/>
    <w:rsid w:val="001E37D3"/>
    <w:rsid w:val="001E44AE"/>
    <w:rsid w:val="001E59E7"/>
    <w:rsid w:val="001E706E"/>
    <w:rsid w:val="001E75AF"/>
    <w:rsid w:val="001F0051"/>
    <w:rsid w:val="001F04A4"/>
    <w:rsid w:val="001F0619"/>
    <w:rsid w:val="001F07A4"/>
    <w:rsid w:val="001F0DF8"/>
    <w:rsid w:val="001F114A"/>
    <w:rsid w:val="001F13A2"/>
    <w:rsid w:val="001F14D9"/>
    <w:rsid w:val="001F23F1"/>
    <w:rsid w:val="001F29B4"/>
    <w:rsid w:val="001F2C74"/>
    <w:rsid w:val="001F2E21"/>
    <w:rsid w:val="001F31EA"/>
    <w:rsid w:val="001F3413"/>
    <w:rsid w:val="001F3990"/>
    <w:rsid w:val="001F3B26"/>
    <w:rsid w:val="001F5A81"/>
    <w:rsid w:val="001F6A08"/>
    <w:rsid w:val="001F6E0D"/>
    <w:rsid w:val="001F73FF"/>
    <w:rsid w:val="001F7526"/>
    <w:rsid w:val="00200592"/>
    <w:rsid w:val="00200C1B"/>
    <w:rsid w:val="0020114E"/>
    <w:rsid w:val="002011E5"/>
    <w:rsid w:val="002018CC"/>
    <w:rsid w:val="00201908"/>
    <w:rsid w:val="00201E9F"/>
    <w:rsid w:val="00202787"/>
    <w:rsid w:val="00202A48"/>
    <w:rsid w:val="00202FBB"/>
    <w:rsid w:val="0020339E"/>
    <w:rsid w:val="00203CF2"/>
    <w:rsid w:val="0020418E"/>
    <w:rsid w:val="00204B52"/>
    <w:rsid w:val="00204DE9"/>
    <w:rsid w:val="00205820"/>
    <w:rsid w:val="00205AE5"/>
    <w:rsid w:val="00205B53"/>
    <w:rsid w:val="00205B9E"/>
    <w:rsid w:val="00206496"/>
    <w:rsid w:val="00206736"/>
    <w:rsid w:val="00210817"/>
    <w:rsid w:val="00210978"/>
    <w:rsid w:val="00210B4A"/>
    <w:rsid w:val="00210E2D"/>
    <w:rsid w:val="00210FD4"/>
    <w:rsid w:val="0021103E"/>
    <w:rsid w:val="002111D5"/>
    <w:rsid w:val="0021208C"/>
    <w:rsid w:val="0021303D"/>
    <w:rsid w:val="00213375"/>
    <w:rsid w:val="00213C57"/>
    <w:rsid w:val="00213D46"/>
    <w:rsid w:val="002140C7"/>
    <w:rsid w:val="00214B4A"/>
    <w:rsid w:val="00214F5C"/>
    <w:rsid w:val="0021508F"/>
    <w:rsid w:val="00215385"/>
    <w:rsid w:val="002153AA"/>
    <w:rsid w:val="0021590D"/>
    <w:rsid w:val="00215958"/>
    <w:rsid w:val="00215D04"/>
    <w:rsid w:val="00216497"/>
    <w:rsid w:val="002169AA"/>
    <w:rsid w:val="00217490"/>
    <w:rsid w:val="002178D2"/>
    <w:rsid w:val="00217D30"/>
    <w:rsid w:val="00217D94"/>
    <w:rsid w:val="002218D3"/>
    <w:rsid w:val="002231E2"/>
    <w:rsid w:val="00223BEE"/>
    <w:rsid w:val="00224433"/>
    <w:rsid w:val="0022460E"/>
    <w:rsid w:val="00224648"/>
    <w:rsid w:val="00224698"/>
    <w:rsid w:val="00224DA5"/>
    <w:rsid w:val="00224F70"/>
    <w:rsid w:val="002256A5"/>
    <w:rsid w:val="00225CAB"/>
    <w:rsid w:val="00226237"/>
    <w:rsid w:val="002263A8"/>
    <w:rsid w:val="002267B6"/>
    <w:rsid w:val="00226E2C"/>
    <w:rsid w:val="00227182"/>
    <w:rsid w:val="00227625"/>
    <w:rsid w:val="002277D5"/>
    <w:rsid w:val="00227D5F"/>
    <w:rsid w:val="0023067A"/>
    <w:rsid w:val="0023099D"/>
    <w:rsid w:val="00230A5D"/>
    <w:rsid w:val="0023132B"/>
    <w:rsid w:val="00231A93"/>
    <w:rsid w:val="00231AB9"/>
    <w:rsid w:val="00231B05"/>
    <w:rsid w:val="00231E84"/>
    <w:rsid w:val="002324CD"/>
    <w:rsid w:val="00232620"/>
    <w:rsid w:val="0023335E"/>
    <w:rsid w:val="002344B7"/>
    <w:rsid w:val="0023470A"/>
    <w:rsid w:val="002358BC"/>
    <w:rsid w:val="00235A3A"/>
    <w:rsid w:val="00235FD8"/>
    <w:rsid w:val="00236145"/>
    <w:rsid w:val="00237299"/>
    <w:rsid w:val="0023730D"/>
    <w:rsid w:val="00237A3D"/>
    <w:rsid w:val="00237A52"/>
    <w:rsid w:val="00237D67"/>
    <w:rsid w:val="00240E02"/>
    <w:rsid w:val="0024101A"/>
    <w:rsid w:val="0024110A"/>
    <w:rsid w:val="00241A49"/>
    <w:rsid w:val="00241BD9"/>
    <w:rsid w:val="0024369C"/>
    <w:rsid w:val="00243C87"/>
    <w:rsid w:val="00243CBA"/>
    <w:rsid w:val="00243CCC"/>
    <w:rsid w:val="00243D31"/>
    <w:rsid w:val="00244293"/>
    <w:rsid w:val="0024453F"/>
    <w:rsid w:val="00244A39"/>
    <w:rsid w:val="00244C28"/>
    <w:rsid w:val="00244C82"/>
    <w:rsid w:val="00244FA2"/>
    <w:rsid w:val="00245847"/>
    <w:rsid w:val="002458A4"/>
    <w:rsid w:val="00245DDC"/>
    <w:rsid w:val="00245E7B"/>
    <w:rsid w:val="00246025"/>
    <w:rsid w:val="0024618B"/>
    <w:rsid w:val="002463CC"/>
    <w:rsid w:val="0024750A"/>
    <w:rsid w:val="0024754F"/>
    <w:rsid w:val="00250250"/>
    <w:rsid w:val="00250BDA"/>
    <w:rsid w:val="00251556"/>
    <w:rsid w:val="002521A4"/>
    <w:rsid w:val="002521F3"/>
    <w:rsid w:val="00252789"/>
    <w:rsid w:val="00252858"/>
    <w:rsid w:val="00252A29"/>
    <w:rsid w:val="00252A41"/>
    <w:rsid w:val="00252C8B"/>
    <w:rsid w:val="00252FC0"/>
    <w:rsid w:val="0025333A"/>
    <w:rsid w:val="00253B32"/>
    <w:rsid w:val="00254CF2"/>
    <w:rsid w:val="002550C3"/>
    <w:rsid w:val="002555DF"/>
    <w:rsid w:val="00255DC3"/>
    <w:rsid w:val="002560B5"/>
    <w:rsid w:val="00256B62"/>
    <w:rsid w:val="00256B69"/>
    <w:rsid w:val="00257891"/>
    <w:rsid w:val="00257E2A"/>
    <w:rsid w:val="00257E67"/>
    <w:rsid w:val="00260108"/>
    <w:rsid w:val="00260164"/>
    <w:rsid w:val="0026039C"/>
    <w:rsid w:val="00260800"/>
    <w:rsid w:val="00263BA9"/>
    <w:rsid w:val="0026422D"/>
    <w:rsid w:val="0026443C"/>
    <w:rsid w:val="0026465C"/>
    <w:rsid w:val="0026540C"/>
    <w:rsid w:val="00265E34"/>
    <w:rsid w:val="00265F59"/>
    <w:rsid w:val="00266102"/>
    <w:rsid w:val="002662AF"/>
    <w:rsid w:val="00266CAA"/>
    <w:rsid w:val="00267203"/>
    <w:rsid w:val="00267F48"/>
    <w:rsid w:val="0027026F"/>
    <w:rsid w:val="0027057F"/>
    <w:rsid w:val="0027080C"/>
    <w:rsid w:val="0027260D"/>
    <w:rsid w:val="0027262B"/>
    <w:rsid w:val="00272960"/>
    <w:rsid w:val="00272DA0"/>
    <w:rsid w:val="002734D2"/>
    <w:rsid w:val="0027379A"/>
    <w:rsid w:val="00273B0B"/>
    <w:rsid w:val="00273F4A"/>
    <w:rsid w:val="00274605"/>
    <w:rsid w:val="00274867"/>
    <w:rsid w:val="002755C3"/>
    <w:rsid w:val="00275602"/>
    <w:rsid w:val="00275ACC"/>
    <w:rsid w:val="00275DA1"/>
    <w:rsid w:val="00276AB9"/>
    <w:rsid w:val="00276CD9"/>
    <w:rsid w:val="002771BF"/>
    <w:rsid w:val="00277203"/>
    <w:rsid w:val="00277795"/>
    <w:rsid w:val="00277B50"/>
    <w:rsid w:val="00280266"/>
    <w:rsid w:val="00280F90"/>
    <w:rsid w:val="002811BB"/>
    <w:rsid w:val="00281A01"/>
    <w:rsid w:val="00282725"/>
    <w:rsid w:val="0028301B"/>
    <w:rsid w:val="00283445"/>
    <w:rsid w:val="002836CF"/>
    <w:rsid w:val="00283CC5"/>
    <w:rsid w:val="00283E78"/>
    <w:rsid w:val="00283F42"/>
    <w:rsid w:val="002841EA"/>
    <w:rsid w:val="00284791"/>
    <w:rsid w:val="00284BD3"/>
    <w:rsid w:val="00285927"/>
    <w:rsid w:val="00286692"/>
    <w:rsid w:val="0028732A"/>
    <w:rsid w:val="0028782B"/>
    <w:rsid w:val="00287FE4"/>
    <w:rsid w:val="00290218"/>
    <w:rsid w:val="00290487"/>
    <w:rsid w:val="00290488"/>
    <w:rsid w:val="00290671"/>
    <w:rsid w:val="0029108C"/>
    <w:rsid w:val="002910BC"/>
    <w:rsid w:val="00291C41"/>
    <w:rsid w:val="00292833"/>
    <w:rsid w:val="00292B57"/>
    <w:rsid w:val="002935CD"/>
    <w:rsid w:val="00294187"/>
    <w:rsid w:val="00294772"/>
    <w:rsid w:val="00295FA3"/>
    <w:rsid w:val="002962C7"/>
    <w:rsid w:val="002966DF"/>
    <w:rsid w:val="002A049E"/>
    <w:rsid w:val="002A0B30"/>
    <w:rsid w:val="002A103F"/>
    <w:rsid w:val="002A120B"/>
    <w:rsid w:val="002A13EA"/>
    <w:rsid w:val="002A1769"/>
    <w:rsid w:val="002A1A56"/>
    <w:rsid w:val="002A1AE9"/>
    <w:rsid w:val="002A1FFD"/>
    <w:rsid w:val="002A20F9"/>
    <w:rsid w:val="002A2355"/>
    <w:rsid w:val="002A264B"/>
    <w:rsid w:val="002A3CD7"/>
    <w:rsid w:val="002A3FC8"/>
    <w:rsid w:val="002A47F0"/>
    <w:rsid w:val="002A4D0B"/>
    <w:rsid w:val="002A4DA9"/>
    <w:rsid w:val="002A5199"/>
    <w:rsid w:val="002A52A8"/>
    <w:rsid w:val="002A54C3"/>
    <w:rsid w:val="002A5787"/>
    <w:rsid w:val="002A5AA2"/>
    <w:rsid w:val="002A5B08"/>
    <w:rsid w:val="002A5BA0"/>
    <w:rsid w:val="002A5E19"/>
    <w:rsid w:val="002A649B"/>
    <w:rsid w:val="002A69DF"/>
    <w:rsid w:val="002A6E2B"/>
    <w:rsid w:val="002A75B6"/>
    <w:rsid w:val="002A7871"/>
    <w:rsid w:val="002A7B28"/>
    <w:rsid w:val="002B0269"/>
    <w:rsid w:val="002B042A"/>
    <w:rsid w:val="002B05C6"/>
    <w:rsid w:val="002B09D9"/>
    <w:rsid w:val="002B1CAD"/>
    <w:rsid w:val="002B2437"/>
    <w:rsid w:val="002B2700"/>
    <w:rsid w:val="002B2ECB"/>
    <w:rsid w:val="002B3941"/>
    <w:rsid w:val="002B3D37"/>
    <w:rsid w:val="002B3EC6"/>
    <w:rsid w:val="002B419D"/>
    <w:rsid w:val="002B507A"/>
    <w:rsid w:val="002B6540"/>
    <w:rsid w:val="002B687E"/>
    <w:rsid w:val="002B79B6"/>
    <w:rsid w:val="002B7F6A"/>
    <w:rsid w:val="002C0780"/>
    <w:rsid w:val="002C0F8B"/>
    <w:rsid w:val="002C11C0"/>
    <w:rsid w:val="002C1256"/>
    <w:rsid w:val="002C1348"/>
    <w:rsid w:val="002C1392"/>
    <w:rsid w:val="002C1955"/>
    <w:rsid w:val="002C22A5"/>
    <w:rsid w:val="002C269D"/>
    <w:rsid w:val="002C31D6"/>
    <w:rsid w:val="002C3438"/>
    <w:rsid w:val="002C3479"/>
    <w:rsid w:val="002C35EA"/>
    <w:rsid w:val="002C366C"/>
    <w:rsid w:val="002C3A46"/>
    <w:rsid w:val="002C3B20"/>
    <w:rsid w:val="002C3B8A"/>
    <w:rsid w:val="002C3C83"/>
    <w:rsid w:val="002C4C9A"/>
    <w:rsid w:val="002C4CF4"/>
    <w:rsid w:val="002C54FB"/>
    <w:rsid w:val="002C56B3"/>
    <w:rsid w:val="002C5DA3"/>
    <w:rsid w:val="002C61EC"/>
    <w:rsid w:val="002C7E07"/>
    <w:rsid w:val="002C7FAF"/>
    <w:rsid w:val="002D063B"/>
    <w:rsid w:val="002D0745"/>
    <w:rsid w:val="002D0BCC"/>
    <w:rsid w:val="002D10C7"/>
    <w:rsid w:val="002D17A5"/>
    <w:rsid w:val="002D1B8A"/>
    <w:rsid w:val="002D25C9"/>
    <w:rsid w:val="002D2728"/>
    <w:rsid w:val="002D27BB"/>
    <w:rsid w:val="002D388B"/>
    <w:rsid w:val="002D3968"/>
    <w:rsid w:val="002D39B9"/>
    <w:rsid w:val="002D3D08"/>
    <w:rsid w:val="002D3E73"/>
    <w:rsid w:val="002D4933"/>
    <w:rsid w:val="002D537D"/>
    <w:rsid w:val="002D57ED"/>
    <w:rsid w:val="002D5EE9"/>
    <w:rsid w:val="002D6021"/>
    <w:rsid w:val="002D6232"/>
    <w:rsid w:val="002D6743"/>
    <w:rsid w:val="002D6DA3"/>
    <w:rsid w:val="002D6E90"/>
    <w:rsid w:val="002D6E9A"/>
    <w:rsid w:val="002D6FD2"/>
    <w:rsid w:val="002D7343"/>
    <w:rsid w:val="002D7520"/>
    <w:rsid w:val="002D7D12"/>
    <w:rsid w:val="002D7DD6"/>
    <w:rsid w:val="002D7F81"/>
    <w:rsid w:val="002E0691"/>
    <w:rsid w:val="002E0904"/>
    <w:rsid w:val="002E0AAB"/>
    <w:rsid w:val="002E0AAD"/>
    <w:rsid w:val="002E0C1A"/>
    <w:rsid w:val="002E16F2"/>
    <w:rsid w:val="002E17F3"/>
    <w:rsid w:val="002E1C10"/>
    <w:rsid w:val="002E1C76"/>
    <w:rsid w:val="002E1ED3"/>
    <w:rsid w:val="002E1FB5"/>
    <w:rsid w:val="002E2304"/>
    <w:rsid w:val="002E257E"/>
    <w:rsid w:val="002E2975"/>
    <w:rsid w:val="002E29BF"/>
    <w:rsid w:val="002E3305"/>
    <w:rsid w:val="002E4196"/>
    <w:rsid w:val="002E4589"/>
    <w:rsid w:val="002E46AD"/>
    <w:rsid w:val="002E4CD5"/>
    <w:rsid w:val="002E5882"/>
    <w:rsid w:val="002E5AA7"/>
    <w:rsid w:val="002E6F26"/>
    <w:rsid w:val="002E7184"/>
    <w:rsid w:val="002E7665"/>
    <w:rsid w:val="002E7E54"/>
    <w:rsid w:val="002F0E33"/>
    <w:rsid w:val="002F1082"/>
    <w:rsid w:val="002F1483"/>
    <w:rsid w:val="002F1E73"/>
    <w:rsid w:val="002F270E"/>
    <w:rsid w:val="002F29E2"/>
    <w:rsid w:val="002F2FB6"/>
    <w:rsid w:val="002F34DB"/>
    <w:rsid w:val="002F4BAA"/>
    <w:rsid w:val="002F537C"/>
    <w:rsid w:val="002F58AE"/>
    <w:rsid w:val="002F5B06"/>
    <w:rsid w:val="002F61FD"/>
    <w:rsid w:val="002F6255"/>
    <w:rsid w:val="002F7396"/>
    <w:rsid w:val="002F7801"/>
    <w:rsid w:val="002F78C5"/>
    <w:rsid w:val="002F78D6"/>
    <w:rsid w:val="002F7BA7"/>
    <w:rsid w:val="0030037D"/>
    <w:rsid w:val="00300705"/>
    <w:rsid w:val="00300EE5"/>
    <w:rsid w:val="003012E7"/>
    <w:rsid w:val="00301B1B"/>
    <w:rsid w:val="00301B6F"/>
    <w:rsid w:val="00301DED"/>
    <w:rsid w:val="00301EED"/>
    <w:rsid w:val="00302490"/>
    <w:rsid w:val="003025AD"/>
    <w:rsid w:val="00302668"/>
    <w:rsid w:val="00302736"/>
    <w:rsid w:val="00303136"/>
    <w:rsid w:val="003037CE"/>
    <w:rsid w:val="00304189"/>
    <w:rsid w:val="0030477D"/>
    <w:rsid w:val="00305363"/>
    <w:rsid w:val="00305D4C"/>
    <w:rsid w:val="00306122"/>
    <w:rsid w:val="00306936"/>
    <w:rsid w:val="0030722F"/>
    <w:rsid w:val="00307881"/>
    <w:rsid w:val="00307E6C"/>
    <w:rsid w:val="00307F0B"/>
    <w:rsid w:val="0030CBC4"/>
    <w:rsid w:val="003100C6"/>
    <w:rsid w:val="0031052E"/>
    <w:rsid w:val="0031060A"/>
    <w:rsid w:val="003107D0"/>
    <w:rsid w:val="00310973"/>
    <w:rsid w:val="00310A6D"/>
    <w:rsid w:val="0031154D"/>
    <w:rsid w:val="00312022"/>
    <w:rsid w:val="003121AB"/>
    <w:rsid w:val="00313AF1"/>
    <w:rsid w:val="003142EB"/>
    <w:rsid w:val="003143FF"/>
    <w:rsid w:val="00314541"/>
    <w:rsid w:val="00314970"/>
    <w:rsid w:val="00314C02"/>
    <w:rsid w:val="0031500A"/>
    <w:rsid w:val="0031506D"/>
    <w:rsid w:val="00315A00"/>
    <w:rsid w:val="003160F1"/>
    <w:rsid w:val="00316551"/>
    <w:rsid w:val="003169DB"/>
    <w:rsid w:val="00320A47"/>
    <w:rsid w:val="00321046"/>
    <w:rsid w:val="003210B0"/>
    <w:rsid w:val="003215BD"/>
    <w:rsid w:val="0032174D"/>
    <w:rsid w:val="0032182D"/>
    <w:rsid w:val="003227D7"/>
    <w:rsid w:val="003232E6"/>
    <w:rsid w:val="0032385D"/>
    <w:rsid w:val="003244E9"/>
    <w:rsid w:val="00324886"/>
    <w:rsid w:val="00324F8B"/>
    <w:rsid w:val="00325153"/>
    <w:rsid w:val="00326F5B"/>
    <w:rsid w:val="003304A9"/>
    <w:rsid w:val="0033075D"/>
    <w:rsid w:val="0033076A"/>
    <w:rsid w:val="003308BD"/>
    <w:rsid w:val="00330CCE"/>
    <w:rsid w:val="00330CD0"/>
    <w:rsid w:val="00331FEA"/>
    <w:rsid w:val="0033242D"/>
    <w:rsid w:val="003327A1"/>
    <w:rsid w:val="00333351"/>
    <w:rsid w:val="00333383"/>
    <w:rsid w:val="0033409C"/>
    <w:rsid w:val="0033480F"/>
    <w:rsid w:val="00334846"/>
    <w:rsid w:val="00334F77"/>
    <w:rsid w:val="003357D6"/>
    <w:rsid w:val="00335B1F"/>
    <w:rsid w:val="003368E2"/>
    <w:rsid w:val="00337F9E"/>
    <w:rsid w:val="0034009B"/>
    <w:rsid w:val="00340815"/>
    <w:rsid w:val="00340BD7"/>
    <w:rsid w:val="00340CEC"/>
    <w:rsid w:val="003410DD"/>
    <w:rsid w:val="003412A1"/>
    <w:rsid w:val="00341644"/>
    <w:rsid w:val="003421B5"/>
    <w:rsid w:val="003423D6"/>
    <w:rsid w:val="003431EE"/>
    <w:rsid w:val="0034349F"/>
    <w:rsid w:val="003436C8"/>
    <w:rsid w:val="00343E03"/>
    <w:rsid w:val="003442E3"/>
    <w:rsid w:val="00344809"/>
    <w:rsid w:val="00344A14"/>
    <w:rsid w:val="00344C3B"/>
    <w:rsid w:val="00344D3D"/>
    <w:rsid w:val="00345096"/>
    <w:rsid w:val="003451DD"/>
    <w:rsid w:val="003456AD"/>
    <w:rsid w:val="00345A96"/>
    <w:rsid w:val="00345D84"/>
    <w:rsid w:val="00345F7C"/>
    <w:rsid w:val="003467D0"/>
    <w:rsid w:val="003469E4"/>
    <w:rsid w:val="00346D4C"/>
    <w:rsid w:val="0034763C"/>
    <w:rsid w:val="003500DC"/>
    <w:rsid w:val="003503FA"/>
    <w:rsid w:val="00350458"/>
    <w:rsid w:val="00350576"/>
    <w:rsid w:val="0035069B"/>
    <w:rsid w:val="00350A40"/>
    <w:rsid w:val="00350E6E"/>
    <w:rsid w:val="0035103E"/>
    <w:rsid w:val="00351691"/>
    <w:rsid w:val="00352A0C"/>
    <w:rsid w:val="00352E45"/>
    <w:rsid w:val="00352E61"/>
    <w:rsid w:val="0035311B"/>
    <w:rsid w:val="00354DAC"/>
    <w:rsid w:val="00355AAE"/>
    <w:rsid w:val="00355C3A"/>
    <w:rsid w:val="003563CE"/>
    <w:rsid w:val="00356731"/>
    <w:rsid w:val="00356CA3"/>
    <w:rsid w:val="00356E78"/>
    <w:rsid w:val="00356FBB"/>
    <w:rsid w:val="00357D41"/>
    <w:rsid w:val="00357FB1"/>
    <w:rsid w:val="00360175"/>
    <w:rsid w:val="00360F6E"/>
    <w:rsid w:val="00361473"/>
    <w:rsid w:val="003615A5"/>
    <w:rsid w:val="003618A3"/>
    <w:rsid w:val="00361E35"/>
    <w:rsid w:val="003630F0"/>
    <w:rsid w:val="003631C8"/>
    <w:rsid w:val="00363BC8"/>
    <w:rsid w:val="00363FB2"/>
    <w:rsid w:val="003644EB"/>
    <w:rsid w:val="00364776"/>
    <w:rsid w:val="00364ED7"/>
    <w:rsid w:val="00365DEE"/>
    <w:rsid w:val="00365FD4"/>
    <w:rsid w:val="00366151"/>
    <w:rsid w:val="00366C04"/>
    <w:rsid w:val="00366C26"/>
    <w:rsid w:val="00367CAF"/>
    <w:rsid w:val="00367FAD"/>
    <w:rsid w:val="00370A9D"/>
    <w:rsid w:val="00371519"/>
    <w:rsid w:val="00371A3B"/>
    <w:rsid w:val="00371D37"/>
    <w:rsid w:val="0037296B"/>
    <w:rsid w:val="00372AED"/>
    <w:rsid w:val="0037340B"/>
    <w:rsid w:val="00373ED3"/>
    <w:rsid w:val="003746A8"/>
    <w:rsid w:val="0037513E"/>
    <w:rsid w:val="00375155"/>
    <w:rsid w:val="003753C3"/>
    <w:rsid w:val="00375B8C"/>
    <w:rsid w:val="00375C5B"/>
    <w:rsid w:val="00376233"/>
    <w:rsid w:val="003766F7"/>
    <w:rsid w:val="00376A1E"/>
    <w:rsid w:val="0037706B"/>
    <w:rsid w:val="00377146"/>
    <w:rsid w:val="0037762F"/>
    <w:rsid w:val="0037774B"/>
    <w:rsid w:val="00377AB8"/>
    <w:rsid w:val="0038022F"/>
    <w:rsid w:val="0038042A"/>
    <w:rsid w:val="0038094F"/>
    <w:rsid w:val="00381836"/>
    <w:rsid w:val="003818D9"/>
    <w:rsid w:val="00381C5D"/>
    <w:rsid w:val="00381FEB"/>
    <w:rsid w:val="0038221A"/>
    <w:rsid w:val="003825CC"/>
    <w:rsid w:val="003828A6"/>
    <w:rsid w:val="00383130"/>
    <w:rsid w:val="00383535"/>
    <w:rsid w:val="0038376E"/>
    <w:rsid w:val="00383C77"/>
    <w:rsid w:val="00383F1E"/>
    <w:rsid w:val="00384001"/>
    <w:rsid w:val="00384069"/>
    <w:rsid w:val="003840DD"/>
    <w:rsid w:val="003842C0"/>
    <w:rsid w:val="00384491"/>
    <w:rsid w:val="00385348"/>
    <w:rsid w:val="00385719"/>
    <w:rsid w:val="003865FB"/>
    <w:rsid w:val="00387209"/>
    <w:rsid w:val="00387BEA"/>
    <w:rsid w:val="003900EA"/>
    <w:rsid w:val="00391AF4"/>
    <w:rsid w:val="00391D75"/>
    <w:rsid w:val="00393527"/>
    <w:rsid w:val="00393886"/>
    <w:rsid w:val="00394674"/>
    <w:rsid w:val="0039577A"/>
    <w:rsid w:val="003957D4"/>
    <w:rsid w:val="00396AC6"/>
    <w:rsid w:val="00396DFC"/>
    <w:rsid w:val="00397C55"/>
    <w:rsid w:val="003A05E2"/>
    <w:rsid w:val="003A0801"/>
    <w:rsid w:val="003A0D73"/>
    <w:rsid w:val="003A1B0E"/>
    <w:rsid w:val="003A1D20"/>
    <w:rsid w:val="003A263B"/>
    <w:rsid w:val="003A27BD"/>
    <w:rsid w:val="003A28F8"/>
    <w:rsid w:val="003A2D7D"/>
    <w:rsid w:val="003A2DFE"/>
    <w:rsid w:val="003A36C8"/>
    <w:rsid w:val="003A39A0"/>
    <w:rsid w:val="003A3AEA"/>
    <w:rsid w:val="003A459C"/>
    <w:rsid w:val="003A60F0"/>
    <w:rsid w:val="003A637B"/>
    <w:rsid w:val="003A65D1"/>
    <w:rsid w:val="003A6672"/>
    <w:rsid w:val="003A7154"/>
    <w:rsid w:val="003A76F0"/>
    <w:rsid w:val="003A7A3B"/>
    <w:rsid w:val="003B0670"/>
    <w:rsid w:val="003B0AB5"/>
    <w:rsid w:val="003B14CC"/>
    <w:rsid w:val="003B160D"/>
    <w:rsid w:val="003B1734"/>
    <w:rsid w:val="003B17C3"/>
    <w:rsid w:val="003B1C4C"/>
    <w:rsid w:val="003B1D3C"/>
    <w:rsid w:val="003B1DB8"/>
    <w:rsid w:val="003B1EE1"/>
    <w:rsid w:val="003B221D"/>
    <w:rsid w:val="003B2393"/>
    <w:rsid w:val="003B23D9"/>
    <w:rsid w:val="003B2C58"/>
    <w:rsid w:val="003B4268"/>
    <w:rsid w:val="003B4359"/>
    <w:rsid w:val="003B464E"/>
    <w:rsid w:val="003B580A"/>
    <w:rsid w:val="003B66C6"/>
    <w:rsid w:val="003B6D9A"/>
    <w:rsid w:val="003B7095"/>
    <w:rsid w:val="003B710D"/>
    <w:rsid w:val="003B7F92"/>
    <w:rsid w:val="003C0E6D"/>
    <w:rsid w:val="003C13BD"/>
    <w:rsid w:val="003C2628"/>
    <w:rsid w:val="003C3F10"/>
    <w:rsid w:val="003C4AAB"/>
    <w:rsid w:val="003C5001"/>
    <w:rsid w:val="003C5261"/>
    <w:rsid w:val="003C57CF"/>
    <w:rsid w:val="003C5824"/>
    <w:rsid w:val="003C59C1"/>
    <w:rsid w:val="003C5AF2"/>
    <w:rsid w:val="003C5C12"/>
    <w:rsid w:val="003C5C19"/>
    <w:rsid w:val="003C5E91"/>
    <w:rsid w:val="003C5EBB"/>
    <w:rsid w:val="003C5F8C"/>
    <w:rsid w:val="003C6280"/>
    <w:rsid w:val="003C6488"/>
    <w:rsid w:val="003C6FBC"/>
    <w:rsid w:val="003C747A"/>
    <w:rsid w:val="003C7AF1"/>
    <w:rsid w:val="003C7F28"/>
    <w:rsid w:val="003D0833"/>
    <w:rsid w:val="003D0CD5"/>
    <w:rsid w:val="003D0E00"/>
    <w:rsid w:val="003D1643"/>
    <w:rsid w:val="003D1706"/>
    <w:rsid w:val="003D19FA"/>
    <w:rsid w:val="003D1C47"/>
    <w:rsid w:val="003D23B5"/>
    <w:rsid w:val="003D25DD"/>
    <w:rsid w:val="003D32BD"/>
    <w:rsid w:val="003D37EC"/>
    <w:rsid w:val="003D4B95"/>
    <w:rsid w:val="003D5072"/>
    <w:rsid w:val="003D586E"/>
    <w:rsid w:val="003D58FD"/>
    <w:rsid w:val="003D5946"/>
    <w:rsid w:val="003D66AD"/>
    <w:rsid w:val="003D6975"/>
    <w:rsid w:val="003D6FA7"/>
    <w:rsid w:val="003D7076"/>
    <w:rsid w:val="003D7CA7"/>
    <w:rsid w:val="003D7DB7"/>
    <w:rsid w:val="003D7E97"/>
    <w:rsid w:val="003D7F61"/>
    <w:rsid w:val="003E12E1"/>
    <w:rsid w:val="003E1498"/>
    <w:rsid w:val="003E1684"/>
    <w:rsid w:val="003E1772"/>
    <w:rsid w:val="003E1901"/>
    <w:rsid w:val="003E2B49"/>
    <w:rsid w:val="003E2D24"/>
    <w:rsid w:val="003E2F3F"/>
    <w:rsid w:val="003E3296"/>
    <w:rsid w:val="003E3F9F"/>
    <w:rsid w:val="003E4096"/>
    <w:rsid w:val="003E4511"/>
    <w:rsid w:val="003E4EEA"/>
    <w:rsid w:val="003E550B"/>
    <w:rsid w:val="003E55D8"/>
    <w:rsid w:val="003E5DBB"/>
    <w:rsid w:val="003E6789"/>
    <w:rsid w:val="003E6D51"/>
    <w:rsid w:val="003E705A"/>
    <w:rsid w:val="003E757C"/>
    <w:rsid w:val="003E7836"/>
    <w:rsid w:val="003E7A46"/>
    <w:rsid w:val="003E7B36"/>
    <w:rsid w:val="003E7FBC"/>
    <w:rsid w:val="003F04BE"/>
    <w:rsid w:val="003F15A4"/>
    <w:rsid w:val="003F1684"/>
    <w:rsid w:val="003F1E32"/>
    <w:rsid w:val="003F20D5"/>
    <w:rsid w:val="003F3A5C"/>
    <w:rsid w:val="003F3D8A"/>
    <w:rsid w:val="003F3EE5"/>
    <w:rsid w:val="003F4B93"/>
    <w:rsid w:val="003F4BCE"/>
    <w:rsid w:val="003F5431"/>
    <w:rsid w:val="003F569F"/>
    <w:rsid w:val="003F58E9"/>
    <w:rsid w:val="003F5CCA"/>
    <w:rsid w:val="003F63C8"/>
    <w:rsid w:val="003F6596"/>
    <w:rsid w:val="003F67C7"/>
    <w:rsid w:val="003F6A61"/>
    <w:rsid w:val="00400058"/>
    <w:rsid w:val="004001A1"/>
    <w:rsid w:val="00400637"/>
    <w:rsid w:val="00400B85"/>
    <w:rsid w:val="004017B2"/>
    <w:rsid w:val="00402EB0"/>
    <w:rsid w:val="0040334A"/>
    <w:rsid w:val="00403823"/>
    <w:rsid w:val="00403B00"/>
    <w:rsid w:val="004043F8"/>
    <w:rsid w:val="00404B68"/>
    <w:rsid w:val="004060DD"/>
    <w:rsid w:val="00406146"/>
    <w:rsid w:val="004065EB"/>
    <w:rsid w:val="00406D1C"/>
    <w:rsid w:val="00406FAE"/>
    <w:rsid w:val="0041045D"/>
    <w:rsid w:val="004108A9"/>
    <w:rsid w:val="00410A32"/>
    <w:rsid w:val="00410D4F"/>
    <w:rsid w:val="00411191"/>
    <w:rsid w:val="00411A24"/>
    <w:rsid w:val="004123C6"/>
    <w:rsid w:val="004129DB"/>
    <w:rsid w:val="00413061"/>
    <w:rsid w:val="00413CF3"/>
    <w:rsid w:val="004145DA"/>
    <w:rsid w:val="0041472C"/>
    <w:rsid w:val="00414873"/>
    <w:rsid w:val="00414DBD"/>
    <w:rsid w:val="00414EBD"/>
    <w:rsid w:val="00415AAA"/>
    <w:rsid w:val="00415D21"/>
    <w:rsid w:val="00416164"/>
    <w:rsid w:val="00416233"/>
    <w:rsid w:val="00416E7A"/>
    <w:rsid w:val="00417DD7"/>
    <w:rsid w:val="00420228"/>
    <w:rsid w:val="00420CDB"/>
    <w:rsid w:val="00420D94"/>
    <w:rsid w:val="004212D4"/>
    <w:rsid w:val="004215A2"/>
    <w:rsid w:val="00421FC8"/>
    <w:rsid w:val="004220A7"/>
    <w:rsid w:val="004226D4"/>
    <w:rsid w:val="004229C2"/>
    <w:rsid w:val="00422BE0"/>
    <w:rsid w:val="00422C42"/>
    <w:rsid w:val="00422ED3"/>
    <w:rsid w:val="004230F7"/>
    <w:rsid w:val="0042338D"/>
    <w:rsid w:val="004234F3"/>
    <w:rsid w:val="00424865"/>
    <w:rsid w:val="00424BBA"/>
    <w:rsid w:val="0042529C"/>
    <w:rsid w:val="004257B8"/>
    <w:rsid w:val="00425D0C"/>
    <w:rsid w:val="00425FEC"/>
    <w:rsid w:val="00426682"/>
    <w:rsid w:val="00426976"/>
    <w:rsid w:val="004269A5"/>
    <w:rsid w:val="00427847"/>
    <w:rsid w:val="00430A34"/>
    <w:rsid w:val="0043109F"/>
    <w:rsid w:val="004311DF"/>
    <w:rsid w:val="0043122C"/>
    <w:rsid w:val="004314AC"/>
    <w:rsid w:val="0043218E"/>
    <w:rsid w:val="00432358"/>
    <w:rsid w:val="0043239C"/>
    <w:rsid w:val="00432913"/>
    <w:rsid w:val="00432F89"/>
    <w:rsid w:val="00434894"/>
    <w:rsid w:val="00435215"/>
    <w:rsid w:val="004353E9"/>
    <w:rsid w:val="00435501"/>
    <w:rsid w:val="004355B6"/>
    <w:rsid w:val="00435772"/>
    <w:rsid w:val="0043578F"/>
    <w:rsid w:val="00435B25"/>
    <w:rsid w:val="0043602F"/>
    <w:rsid w:val="004361A2"/>
    <w:rsid w:val="004366E6"/>
    <w:rsid w:val="004372E9"/>
    <w:rsid w:val="004402FE"/>
    <w:rsid w:val="004409D6"/>
    <w:rsid w:val="00440F99"/>
    <w:rsid w:val="004413E5"/>
    <w:rsid w:val="0044171F"/>
    <w:rsid w:val="00441CF7"/>
    <w:rsid w:val="00442005"/>
    <w:rsid w:val="0044232B"/>
    <w:rsid w:val="00442521"/>
    <w:rsid w:val="00443181"/>
    <w:rsid w:val="004447E8"/>
    <w:rsid w:val="00445631"/>
    <w:rsid w:val="00445797"/>
    <w:rsid w:val="00445930"/>
    <w:rsid w:val="00446137"/>
    <w:rsid w:val="004462AE"/>
    <w:rsid w:val="0044642D"/>
    <w:rsid w:val="004465EC"/>
    <w:rsid w:val="00446970"/>
    <w:rsid w:val="0044730D"/>
    <w:rsid w:val="00447650"/>
    <w:rsid w:val="00447725"/>
    <w:rsid w:val="004479C2"/>
    <w:rsid w:val="0045035E"/>
    <w:rsid w:val="004505E9"/>
    <w:rsid w:val="00450691"/>
    <w:rsid w:val="00450C3B"/>
    <w:rsid w:val="00450CEB"/>
    <w:rsid w:val="00450F19"/>
    <w:rsid w:val="00451361"/>
    <w:rsid w:val="004517C6"/>
    <w:rsid w:val="004518E9"/>
    <w:rsid w:val="00452302"/>
    <w:rsid w:val="00452531"/>
    <w:rsid w:val="00452C53"/>
    <w:rsid w:val="00452CE6"/>
    <w:rsid w:val="00452EA0"/>
    <w:rsid w:val="0045313A"/>
    <w:rsid w:val="004531B8"/>
    <w:rsid w:val="00453D13"/>
    <w:rsid w:val="004545CE"/>
    <w:rsid w:val="00455E1F"/>
    <w:rsid w:val="004563B3"/>
    <w:rsid w:val="0045690D"/>
    <w:rsid w:val="004579D4"/>
    <w:rsid w:val="00457E5A"/>
    <w:rsid w:val="0046079D"/>
    <w:rsid w:val="0046130B"/>
    <w:rsid w:val="00461372"/>
    <w:rsid w:val="004621FF"/>
    <w:rsid w:val="0046230B"/>
    <w:rsid w:val="00462E13"/>
    <w:rsid w:val="0046318F"/>
    <w:rsid w:val="00463531"/>
    <w:rsid w:val="004639EE"/>
    <w:rsid w:val="00464B03"/>
    <w:rsid w:val="00464ECD"/>
    <w:rsid w:val="0046746A"/>
    <w:rsid w:val="004703B8"/>
    <w:rsid w:val="004728A1"/>
    <w:rsid w:val="00472AFF"/>
    <w:rsid w:val="00474764"/>
    <w:rsid w:val="0047609F"/>
    <w:rsid w:val="00476594"/>
    <w:rsid w:val="00476FB2"/>
    <w:rsid w:val="004772C2"/>
    <w:rsid w:val="00477358"/>
    <w:rsid w:val="004774E2"/>
    <w:rsid w:val="00477C92"/>
    <w:rsid w:val="00480EAB"/>
    <w:rsid w:val="0048136D"/>
    <w:rsid w:val="0048167F"/>
    <w:rsid w:val="004818F8"/>
    <w:rsid w:val="00481CE4"/>
    <w:rsid w:val="00481D75"/>
    <w:rsid w:val="00481FEF"/>
    <w:rsid w:val="0048210C"/>
    <w:rsid w:val="00482621"/>
    <w:rsid w:val="0048357C"/>
    <w:rsid w:val="004839E0"/>
    <w:rsid w:val="00483AB9"/>
    <w:rsid w:val="00484153"/>
    <w:rsid w:val="00484530"/>
    <w:rsid w:val="00484C93"/>
    <w:rsid w:val="00485459"/>
    <w:rsid w:val="004856CE"/>
    <w:rsid w:val="00485AA7"/>
    <w:rsid w:val="00485CD5"/>
    <w:rsid w:val="00485F6E"/>
    <w:rsid w:val="004862D9"/>
    <w:rsid w:val="004870B2"/>
    <w:rsid w:val="00487191"/>
    <w:rsid w:val="00487349"/>
    <w:rsid w:val="00490622"/>
    <w:rsid w:val="004910A4"/>
    <w:rsid w:val="00492913"/>
    <w:rsid w:val="00492B52"/>
    <w:rsid w:val="00493D1F"/>
    <w:rsid w:val="00494365"/>
    <w:rsid w:val="00494911"/>
    <w:rsid w:val="00494A31"/>
    <w:rsid w:val="00494F49"/>
    <w:rsid w:val="004957B7"/>
    <w:rsid w:val="004957E2"/>
    <w:rsid w:val="0049584A"/>
    <w:rsid w:val="004958A6"/>
    <w:rsid w:val="004958F3"/>
    <w:rsid w:val="00495CB7"/>
    <w:rsid w:val="004965B2"/>
    <w:rsid w:val="00496CC3"/>
    <w:rsid w:val="00497633"/>
    <w:rsid w:val="004A01EE"/>
    <w:rsid w:val="004A11CE"/>
    <w:rsid w:val="004A176D"/>
    <w:rsid w:val="004A1903"/>
    <w:rsid w:val="004A1CDF"/>
    <w:rsid w:val="004A1D51"/>
    <w:rsid w:val="004A200D"/>
    <w:rsid w:val="004A23A7"/>
    <w:rsid w:val="004A23C3"/>
    <w:rsid w:val="004A29F4"/>
    <w:rsid w:val="004A30B9"/>
    <w:rsid w:val="004A3442"/>
    <w:rsid w:val="004A34EA"/>
    <w:rsid w:val="004A3F43"/>
    <w:rsid w:val="004A480B"/>
    <w:rsid w:val="004A537A"/>
    <w:rsid w:val="004A5E90"/>
    <w:rsid w:val="004A66B7"/>
    <w:rsid w:val="004A6984"/>
    <w:rsid w:val="004A69D0"/>
    <w:rsid w:val="004A6C6A"/>
    <w:rsid w:val="004A6D01"/>
    <w:rsid w:val="004A6F0E"/>
    <w:rsid w:val="004A73CD"/>
    <w:rsid w:val="004A76AA"/>
    <w:rsid w:val="004A7AFE"/>
    <w:rsid w:val="004B0044"/>
    <w:rsid w:val="004B01A5"/>
    <w:rsid w:val="004B046B"/>
    <w:rsid w:val="004B04B6"/>
    <w:rsid w:val="004B08C2"/>
    <w:rsid w:val="004B0916"/>
    <w:rsid w:val="004B1976"/>
    <w:rsid w:val="004B2521"/>
    <w:rsid w:val="004B2E88"/>
    <w:rsid w:val="004B41B9"/>
    <w:rsid w:val="004B4683"/>
    <w:rsid w:val="004B4DAE"/>
    <w:rsid w:val="004B6229"/>
    <w:rsid w:val="004B622D"/>
    <w:rsid w:val="004B637D"/>
    <w:rsid w:val="004B6C5E"/>
    <w:rsid w:val="004B6E19"/>
    <w:rsid w:val="004B746A"/>
    <w:rsid w:val="004B759C"/>
    <w:rsid w:val="004B7925"/>
    <w:rsid w:val="004C022F"/>
    <w:rsid w:val="004C0854"/>
    <w:rsid w:val="004C0883"/>
    <w:rsid w:val="004C0B60"/>
    <w:rsid w:val="004C192F"/>
    <w:rsid w:val="004C1EE7"/>
    <w:rsid w:val="004C25EB"/>
    <w:rsid w:val="004C3B7C"/>
    <w:rsid w:val="004C3C76"/>
    <w:rsid w:val="004C43D4"/>
    <w:rsid w:val="004C48D5"/>
    <w:rsid w:val="004C5360"/>
    <w:rsid w:val="004C5449"/>
    <w:rsid w:val="004C5592"/>
    <w:rsid w:val="004C590F"/>
    <w:rsid w:val="004C6F86"/>
    <w:rsid w:val="004C7DED"/>
    <w:rsid w:val="004C7E3F"/>
    <w:rsid w:val="004D0CF9"/>
    <w:rsid w:val="004D0FC9"/>
    <w:rsid w:val="004D13E1"/>
    <w:rsid w:val="004D1415"/>
    <w:rsid w:val="004D18C3"/>
    <w:rsid w:val="004D191C"/>
    <w:rsid w:val="004D1EC9"/>
    <w:rsid w:val="004D2037"/>
    <w:rsid w:val="004D2305"/>
    <w:rsid w:val="004D330A"/>
    <w:rsid w:val="004D3C47"/>
    <w:rsid w:val="004D4735"/>
    <w:rsid w:val="004D4EAF"/>
    <w:rsid w:val="004D594E"/>
    <w:rsid w:val="004D5CEA"/>
    <w:rsid w:val="004D5F08"/>
    <w:rsid w:val="004D61D0"/>
    <w:rsid w:val="004E0A90"/>
    <w:rsid w:val="004E0C61"/>
    <w:rsid w:val="004E0FDA"/>
    <w:rsid w:val="004E11E5"/>
    <w:rsid w:val="004E1215"/>
    <w:rsid w:val="004E18CB"/>
    <w:rsid w:val="004E1972"/>
    <w:rsid w:val="004E1C9E"/>
    <w:rsid w:val="004E2282"/>
    <w:rsid w:val="004E2324"/>
    <w:rsid w:val="004E298C"/>
    <w:rsid w:val="004E33BA"/>
    <w:rsid w:val="004E3463"/>
    <w:rsid w:val="004E34A3"/>
    <w:rsid w:val="004E39C1"/>
    <w:rsid w:val="004E41E9"/>
    <w:rsid w:val="004E441F"/>
    <w:rsid w:val="004E49C2"/>
    <w:rsid w:val="004E5044"/>
    <w:rsid w:val="004E50C9"/>
    <w:rsid w:val="004E5799"/>
    <w:rsid w:val="004E6A15"/>
    <w:rsid w:val="004E6F2A"/>
    <w:rsid w:val="004E6FA7"/>
    <w:rsid w:val="004E7A79"/>
    <w:rsid w:val="004F0217"/>
    <w:rsid w:val="004F0745"/>
    <w:rsid w:val="004F0D0F"/>
    <w:rsid w:val="004F135D"/>
    <w:rsid w:val="004F13E7"/>
    <w:rsid w:val="004F1E50"/>
    <w:rsid w:val="004F251D"/>
    <w:rsid w:val="004F25C4"/>
    <w:rsid w:val="004F2C41"/>
    <w:rsid w:val="004F2CDA"/>
    <w:rsid w:val="004F35BF"/>
    <w:rsid w:val="004F395E"/>
    <w:rsid w:val="004F3D28"/>
    <w:rsid w:val="004F43C1"/>
    <w:rsid w:val="004F56A6"/>
    <w:rsid w:val="004F5755"/>
    <w:rsid w:val="004F5D4F"/>
    <w:rsid w:val="004F60A3"/>
    <w:rsid w:val="004F6405"/>
    <w:rsid w:val="004F6496"/>
    <w:rsid w:val="004F6ACB"/>
    <w:rsid w:val="004F6F12"/>
    <w:rsid w:val="004F72EA"/>
    <w:rsid w:val="004F76E4"/>
    <w:rsid w:val="004F783D"/>
    <w:rsid w:val="004F7938"/>
    <w:rsid w:val="004F7C92"/>
    <w:rsid w:val="004F7CE1"/>
    <w:rsid w:val="004F7D1D"/>
    <w:rsid w:val="005014DC"/>
    <w:rsid w:val="00501624"/>
    <w:rsid w:val="00502DBA"/>
    <w:rsid w:val="0050323E"/>
    <w:rsid w:val="00503A1E"/>
    <w:rsid w:val="005043E6"/>
    <w:rsid w:val="005045F4"/>
    <w:rsid w:val="00505235"/>
    <w:rsid w:val="00505866"/>
    <w:rsid w:val="00505B3D"/>
    <w:rsid w:val="00505EAE"/>
    <w:rsid w:val="0050604C"/>
    <w:rsid w:val="00506450"/>
    <w:rsid w:val="005067E5"/>
    <w:rsid w:val="005072E8"/>
    <w:rsid w:val="00507931"/>
    <w:rsid w:val="00510AF8"/>
    <w:rsid w:val="00510CAC"/>
    <w:rsid w:val="005117D4"/>
    <w:rsid w:val="00511848"/>
    <w:rsid w:val="005128F3"/>
    <w:rsid w:val="005132CA"/>
    <w:rsid w:val="00513667"/>
    <w:rsid w:val="005138C6"/>
    <w:rsid w:val="00513EFB"/>
    <w:rsid w:val="005142B2"/>
    <w:rsid w:val="00514AF5"/>
    <w:rsid w:val="005158BA"/>
    <w:rsid w:val="00515D45"/>
    <w:rsid w:val="005162D3"/>
    <w:rsid w:val="005162EF"/>
    <w:rsid w:val="0051689C"/>
    <w:rsid w:val="00516CC2"/>
    <w:rsid w:val="00516F25"/>
    <w:rsid w:val="00516FE2"/>
    <w:rsid w:val="00517295"/>
    <w:rsid w:val="005177B3"/>
    <w:rsid w:val="00517A17"/>
    <w:rsid w:val="00517E40"/>
    <w:rsid w:val="00517F66"/>
    <w:rsid w:val="00517FBD"/>
    <w:rsid w:val="00520A22"/>
    <w:rsid w:val="00521209"/>
    <w:rsid w:val="00521386"/>
    <w:rsid w:val="00521731"/>
    <w:rsid w:val="00522040"/>
    <w:rsid w:val="005221F9"/>
    <w:rsid w:val="00522BC0"/>
    <w:rsid w:val="00523720"/>
    <w:rsid w:val="00523CEF"/>
    <w:rsid w:val="00523EEB"/>
    <w:rsid w:val="00524617"/>
    <w:rsid w:val="00524C30"/>
    <w:rsid w:val="00525294"/>
    <w:rsid w:val="005253C7"/>
    <w:rsid w:val="00525DD5"/>
    <w:rsid w:val="0052601A"/>
    <w:rsid w:val="00526363"/>
    <w:rsid w:val="00527A58"/>
    <w:rsid w:val="00530CBD"/>
    <w:rsid w:val="00531398"/>
    <w:rsid w:val="00531788"/>
    <w:rsid w:val="00531C54"/>
    <w:rsid w:val="00531D80"/>
    <w:rsid w:val="00532310"/>
    <w:rsid w:val="005323F8"/>
    <w:rsid w:val="00532780"/>
    <w:rsid w:val="00532D9D"/>
    <w:rsid w:val="005333EC"/>
    <w:rsid w:val="00533CEF"/>
    <w:rsid w:val="00533D60"/>
    <w:rsid w:val="005343CF"/>
    <w:rsid w:val="0053440C"/>
    <w:rsid w:val="00535608"/>
    <w:rsid w:val="00535F2F"/>
    <w:rsid w:val="0053628E"/>
    <w:rsid w:val="0053643E"/>
    <w:rsid w:val="00536692"/>
    <w:rsid w:val="00536AC7"/>
    <w:rsid w:val="005370B7"/>
    <w:rsid w:val="00537E63"/>
    <w:rsid w:val="00540341"/>
    <w:rsid w:val="00540CE8"/>
    <w:rsid w:val="00541506"/>
    <w:rsid w:val="005428C4"/>
    <w:rsid w:val="005438BB"/>
    <w:rsid w:val="00543A52"/>
    <w:rsid w:val="00543A99"/>
    <w:rsid w:val="00543E56"/>
    <w:rsid w:val="0054480B"/>
    <w:rsid w:val="00544ABA"/>
    <w:rsid w:val="00545109"/>
    <w:rsid w:val="0054528B"/>
    <w:rsid w:val="00545750"/>
    <w:rsid w:val="0054597B"/>
    <w:rsid w:val="00545F79"/>
    <w:rsid w:val="0054657D"/>
    <w:rsid w:val="00546F3E"/>
    <w:rsid w:val="00547AB4"/>
    <w:rsid w:val="005502AF"/>
    <w:rsid w:val="00551327"/>
    <w:rsid w:val="00551A16"/>
    <w:rsid w:val="00552178"/>
    <w:rsid w:val="005521D5"/>
    <w:rsid w:val="005529B2"/>
    <w:rsid w:val="005533DE"/>
    <w:rsid w:val="005541EF"/>
    <w:rsid w:val="0055496A"/>
    <w:rsid w:val="00555051"/>
    <w:rsid w:val="00555200"/>
    <w:rsid w:val="005555C4"/>
    <w:rsid w:val="005556D3"/>
    <w:rsid w:val="0055591B"/>
    <w:rsid w:val="00555950"/>
    <w:rsid w:val="00555B50"/>
    <w:rsid w:val="0055629E"/>
    <w:rsid w:val="0055677E"/>
    <w:rsid w:val="00556E80"/>
    <w:rsid w:val="00556FBC"/>
    <w:rsid w:val="0055771A"/>
    <w:rsid w:val="005601BC"/>
    <w:rsid w:val="00560690"/>
    <w:rsid w:val="00560BD5"/>
    <w:rsid w:val="00560F25"/>
    <w:rsid w:val="00561540"/>
    <w:rsid w:val="00561E5C"/>
    <w:rsid w:val="00561E68"/>
    <w:rsid w:val="00562391"/>
    <w:rsid w:val="00562FD8"/>
    <w:rsid w:val="005634F0"/>
    <w:rsid w:val="005638BF"/>
    <w:rsid w:val="00563B1E"/>
    <w:rsid w:val="00563D48"/>
    <w:rsid w:val="00564143"/>
    <w:rsid w:val="00564F2D"/>
    <w:rsid w:val="00565A69"/>
    <w:rsid w:val="00565E93"/>
    <w:rsid w:val="00566040"/>
    <w:rsid w:val="0056632F"/>
    <w:rsid w:val="00566627"/>
    <w:rsid w:val="00566EE5"/>
    <w:rsid w:val="00566FC8"/>
    <w:rsid w:val="005677B6"/>
    <w:rsid w:val="005679E2"/>
    <w:rsid w:val="00567F32"/>
    <w:rsid w:val="00570390"/>
    <w:rsid w:val="00570E50"/>
    <w:rsid w:val="00571D0B"/>
    <w:rsid w:val="00572501"/>
    <w:rsid w:val="00572A50"/>
    <w:rsid w:val="00572B10"/>
    <w:rsid w:val="00572C55"/>
    <w:rsid w:val="00572FC7"/>
    <w:rsid w:val="00573184"/>
    <w:rsid w:val="005738EB"/>
    <w:rsid w:val="0057410B"/>
    <w:rsid w:val="00574411"/>
    <w:rsid w:val="00575C3F"/>
    <w:rsid w:val="00575D1B"/>
    <w:rsid w:val="00575F10"/>
    <w:rsid w:val="00576B16"/>
    <w:rsid w:val="00576C92"/>
    <w:rsid w:val="0057707A"/>
    <w:rsid w:val="00577D09"/>
    <w:rsid w:val="005806F7"/>
    <w:rsid w:val="005807F0"/>
    <w:rsid w:val="00580AA6"/>
    <w:rsid w:val="00580B3B"/>
    <w:rsid w:val="00581049"/>
    <w:rsid w:val="00581241"/>
    <w:rsid w:val="005812EB"/>
    <w:rsid w:val="0058207B"/>
    <w:rsid w:val="00582A8D"/>
    <w:rsid w:val="00582C01"/>
    <w:rsid w:val="00582FBB"/>
    <w:rsid w:val="00582FEE"/>
    <w:rsid w:val="0058302D"/>
    <w:rsid w:val="005834B4"/>
    <w:rsid w:val="0058414B"/>
    <w:rsid w:val="00585A8C"/>
    <w:rsid w:val="00585FD3"/>
    <w:rsid w:val="005864B7"/>
    <w:rsid w:val="005868A2"/>
    <w:rsid w:val="005868B6"/>
    <w:rsid w:val="00586B43"/>
    <w:rsid w:val="005871AF"/>
    <w:rsid w:val="005879A2"/>
    <w:rsid w:val="00587BAD"/>
    <w:rsid w:val="00587FF9"/>
    <w:rsid w:val="0059005C"/>
    <w:rsid w:val="00590206"/>
    <w:rsid w:val="0059041F"/>
    <w:rsid w:val="005908A8"/>
    <w:rsid w:val="005908CE"/>
    <w:rsid w:val="00591A5C"/>
    <w:rsid w:val="00591C91"/>
    <w:rsid w:val="005928AC"/>
    <w:rsid w:val="005929BB"/>
    <w:rsid w:val="00592B44"/>
    <w:rsid w:val="00592BA0"/>
    <w:rsid w:val="0059301D"/>
    <w:rsid w:val="00593325"/>
    <w:rsid w:val="00593A02"/>
    <w:rsid w:val="00593FE4"/>
    <w:rsid w:val="0059400D"/>
    <w:rsid w:val="00594323"/>
    <w:rsid w:val="00594DDF"/>
    <w:rsid w:val="00594F8D"/>
    <w:rsid w:val="00596397"/>
    <w:rsid w:val="005973A9"/>
    <w:rsid w:val="00597F8C"/>
    <w:rsid w:val="005A0310"/>
    <w:rsid w:val="005A05CB"/>
    <w:rsid w:val="005A081E"/>
    <w:rsid w:val="005A131B"/>
    <w:rsid w:val="005A132D"/>
    <w:rsid w:val="005A149D"/>
    <w:rsid w:val="005A14E5"/>
    <w:rsid w:val="005A22FD"/>
    <w:rsid w:val="005A2864"/>
    <w:rsid w:val="005A2916"/>
    <w:rsid w:val="005A2C75"/>
    <w:rsid w:val="005A2CB6"/>
    <w:rsid w:val="005A2ED2"/>
    <w:rsid w:val="005A3C20"/>
    <w:rsid w:val="005A45B3"/>
    <w:rsid w:val="005A45C7"/>
    <w:rsid w:val="005A4F90"/>
    <w:rsid w:val="005A55B3"/>
    <w:rsid w:val="005A66D0"/>
    <w:rsid w:val="005A6B69"/>
    <w:rsid w:val="005A779A"/>
    <w:rsid w:val="005A7F6A"/>
    <w:rsid w:val="005B0090"/>
    <w:rsid w:val="005B034E"/>
    <w:rsid w:val="005B179B"/>
    <w:rsid w:val="005B1996"/>
    <w:rsid w:val="005B1B36"/>
    <w:rsid w:val="005B1F39"/>
    <w:rsid w:val="005B20BF"/>
    <w:rsid w:val="005B225E"/>
    <w:rsid w:val="005B28B0"/>
    <w:rsid w:val="005B2C93"/>
    <w:rsid w:val="005B394C"/>
    <w:rsid w:val="005B3DF6"/>
    <w:rsid w:val="005B48A9"/>
    <w:rsid w:val="005B53E7"/>
    <w:rsid w:val="005B55F4"/>
    <w:rsid w:val="005B59A4"/>
    <w:rsid w:val="005B6922"/>
    <w:rsid w:val="005B6C89"/>
    <w:rsid w:val="005C0625"/>
    <w:rsid w:val="005C0BE2"/>
    <w:rsid w:val="005C0C76"/>
    <w:rsid w:val="005C0FA5"/>
    <w:rsid w:val="005C2087"/>
    <w:rsid w:val="005C212B"/>
    <w:rsid w:val="005C2F12"/>
    <w:rsid w:val="005C31DC"/>
    <w:rsid w:val="005C342D"/>
    <w:rsid w:val="005C35E4"/>
    <w:rsid w:val="005C38D1"/>
    <w:rsid w:val="005C38EF"/>
    <w:rsid w:val="005C3FE3"/>
    <w:rsid w:val="005C435D"/>
    <w:rsid w:val="005C4495"/>
    <w:rsid w:val="005C4703"/>
    <w:rsid w:val="005C5465"/>
    <w:rsid w:val="005C5DFB"/>
    <w:rsid w:val="005C5FC5"/>
    <w:rsid w:val="005C63E8"/>
    <w:rsid w:val="005C67BD"/>
    <w:rsid w:val="005C68C5"/>
    <w:rsid w:val="005C7570"/>
    <w:rsid w:val="005D0B22"/>
    <w:rsid w:val="005D0F71"/>
    <w:rsid w:val="005D0F7E"/>
    <w:rsid w:val="005D2038"/>
    <w:rsid w:val="005D2CAC"/>
    <w:rsid w:val="005D2D31"/>
    <w:rsid w:val="005D36A0"/>
    <w:rsid w:val="005D3C54"/>
    <w:rsid w:val="005D3D3A"/>
    <w:rsid w:val="005D3FCD"/>
    <w:rsid w:val="005D456D"/>
    <w:rsid w:val="005D476F"/>
    <w:rsid w:val="005D493E"/>
    <w:rsid w:val="005D4975"/>
    <w:rsid w:val="005D4AAF"/>
    <w:rsid w:val="005D5148"/>
    <w:rsid w:val="005D5D81"/>
    <w:rsid w:val="005D6283"/>
    <w:rsid w:val="005D667E"/>
    <w:rsid w:val="005D764A"/>
    <w:rsid w:val="005D787F"/>
    <w:rsid w:val="005D7BAF"/>
    <w:rsid w:val="005E0E06"/>
    <w:rsid w:val="005E14ED"/>
    <w:rsid w:val="005E151A"/>
    <w:rsid w:val="005E1804"/>
    <w:rsid w:val="005E1C4B"/>
    <w:rsid w:val="005E2AE0"/>
    <w:rsid w:val="005E2F2C"/>
    <w:rsid w:val="005E3430"/>
    <w:rsid w:val="005E3571"/>
    <w:rsid w:val="005E3E44"/>
    <w:rsid w:val="005E432F"/>
    <w:rsid w:val="005E45AD"/>
    <w:rsid w:val="005E4A4B"/>
    <w:rsid w:val="005E4AB9"/>
    <w:rsid w:val="005E51DA"/>
    <w:rsid w:val="005E5297"/>
    <w:rsid w:val="005E5359"/>
    <w:rsid w:val="005E5408"/>
    <w:rsid w:val="005E5593"/>
    <w:rsid w:val="005E590E"/>
    <w:rsid w:val="005E5D5B"/>
    <w:rsid w:val="005E6AE6"/>
    <w:rsid w:val="005E6BC4"/>
    <w:rsid w:val="005E6C63"/>
    <w:rsid w:val="005E6EE1"/>
    <w:rsid w:val="005E7BFB"/>
    <w:rsid w:val="005E7E71"/>
    <w:rsid w:val="005F03BC"/>
    <w:rsid w:val="005F04A0"/>
    <w:rsid w:val="005F0AB0"/>
    <w:rsid w:val="005F12EE"/>
    <w:rsid w:val="005F1D08"/>
    <w:rsid w:val="005F2558"/>
    <w:rsid w:val="005F2D80"/>
    <w:rsid w:val="005F2FF1"/>
    <w:rsid w:val="005F39AE"/>
    <w:rsid w:val="005F40EC"/>
    <w:rsid w:val="005F4229"/>
    <w:rsid w:val="005F4526"/>
    <w:rsid w:val="005F45A0"/>
    <w:rsid w:val="005F536C"/>
    <w:rsid w:val="005F5925"/>
    <w:rsid w:val="005F59DF"/>
    <w:rsid w:val="005F5E90"/>
    <w:rsid w:val="005F5EB0"/>
    <w:rsid w:val="005F5ECC"/>
    <w:rsid w:val="005F62A6"/>
    <w:rsid w:val="005F6540"/>
    <w:rsid w:val="005F67A3"/>
    <w:rsid w:val="005F6844"/>
    <w:rsid w:val="005F6A59"/>
    <w:rsid w:val="005F727F"/>
    <w:rsid w:val="005F72C4"/>
    <w:rsid w:val="005F750B"/>
    <w:rsid w:val="005F7DF9"/>
    <w:rsid w:val="006010FD"/>
    <w:rsid w:val="00601F72"/>
    <w:rsid w:val="00602DED"/>
    <w:rsid w:val="006033B3"/>
    <w:rsid w:val="00603E07"/>
    <w:rsid w:val="00604365"/>
    <w:rsid w:val="00604EB4"/>
    <w:rsid w:val="006056DF"/>
    <w:rsid w:val="006057C9"/>
    <w:rsid w:val="00605E88"/>
    <w:rsid w:val="00606A03"/>
    <w:rsid w:val="00606C3E"/>
    <w:rsid w:val="00607056"/>
    <w:rsid w:val="00607537"/>
    <w:rsid w:val="00607792"/>
    <w:rsid w:val="00610C04"/>
    <w:rsid w:val="00611F22"/>
    <w:rsid w:val="00611F9F"/>
    <w:rsid w:val="0061203E"/>
    <w:rsid w:val="006120FD"/>
    <w:rsid w:val="006126A5"/>
    <w:rsid w:val="006136C8"/>
    <w:rsid w:val="006137A4"/>
    <w:rsid w:val="00613CA1"/>
    <w:rsid w:val="006141D1"/>
    <w:rsid w:val="006145E5"/>
    <w:rsid w:val="0061477E"/>
    <w:rsid w:val="0061491E"/>
    <w:rsid w:val="006150A4"/>
    <w:rsid w:val="006155C3"/>
    <w:rsid w:val="00615840"/>
    <w:rsid w:val="00616082"/>
    <w:rsid w:val="00616526"/>
    <w:rsid w:val="00616A42"/>
    <w:rsid w:val="00616FD0"/>
    <w:rsid w:val="00616FE6"/>
    <w:rsid w:val="00617AA1"/>
    <w:rsid w:val="00617BCA"/>
    <w:rsid w:val="00617CAC"/>
    <w:rsid w:val="00620253"/>
    <w:rsid w:val="00620A87"/>
    <w:rsid w:val="00620D50"/>
    <w:rsid w:val="0062111E"/>
    <w:rsid w:val="00621602"/>
    <w:rsid w:val="00622651"/>
    <w:rsid w:val="006229D1"/>
    <w:rsid w:val="006239E4"/>
    <w:rsid w:val="00623E23"/>
    <w:rsid w:val="00624265"/>
    <w:rsid w:val="006244F6"/>
    <w:rsid w:val="006247BA"/>
    <w:rsid w:val="00625443"/>
    <w:rsid w:val="0062562C"/>
    <w:rsid w:val="006257B6"/>
    <w:rsid w:val="006268FC"/>
    <w:rsid w:val="00626D9C"/>
    <w:rsid w:val="00626E62"/>
    <w:rsid w:val="006273D9"/>
    <w:rsid w:val="00627A8C"/>
    <w:rsid w:val="00627D89"/>
    <w:rsid w:val="00630F09"/>
    <w:rsid w:val="00631D2C"/>
    <w:rsid w:val="00631E71"/>
    <w:rsid w:val="00632901"/>
    <w:rsid w:val="00632B78"/>
    <w:rsid w:val="00632C7F"/>
    <w:rsid w:val="00632E45"/>
    <w:rsid w:val="0063355B"/>
    <w:rsid w:val="00633710"/>
    <w:rsid w:val="00633ED1"/>
    <w:rsid w:val="00633F50"/>
    <w:rsid w:val="006349F7"/>
    <w:rsid w:val="00634A25"/>
    <w:rsid w:val="006353FB"/>
    <w:rsid w:val="00635519"/>
    <w:rsid w:val="00635773"/>
    <w:rsid w:val="006357AC"/>
    <w:rsid w:val="00636264"/>
    <w:rsid w:val="0063644D"/>
    <w:rsid w:val="00636FD0"/>
    <w:rsid w:val="00637090"/>
    <w:rsid w:val="00637620"/>
    <w:rsid w:val="006376BA"/>
    <w:rsid w:val="00637708"/>
    <w:rsid w:val="0064004F"/>
    <w:rsid w:val="006414BC"/>
    <w:rsid w:val="00641C9B"/>
    <w:rsid w:val="0064216B"/>
    <w:rsid w:val="00643166"/>
    <w:rsid w:val="00643859"/>
    <w:rsid w:val="00643DB4"/>
    <w:rsid w:val="00644B67"/>
    <w:rsid w:val="00644E12"/>
    <w:rsid w:val="00645872"/>
    <w:rsid w:val="006459F4"/>
    <w:rsid w:val="00645CDD"/>
    <w:rsid w:val="00645E8B"/>
    <w:rsid w:val="00645F78"/>
    <w:rsid w:val="006469ED"/>
    <w:rsid w:val="00646E3B"/>
    <w:rsid w:val="00647314"/>
    <w:rsid w:val="00647352"/>
    <w:rsid w:val="0064799D"/>
    <w:rsid w:val="00647C94"/>
    <w:rsid w:val="006506F8"/>
    <w:rsid w:val="0065081E"/>
    <w:rsid w:val="00650E4B"/>
    <w:rsid w:val="00650FDA"/>
    <w:rsid w:val="00651B92"/>
    <w:rsid w:val="00652016"/>
    <w:rsid w:val="006522E0"/>
    <w:rsid w:val="0065389B"/>
    <w:rsid w:val="00653EBB"/>
    <w:rsid w:val="006543A0"/>
    <w:rsid w:val="006543DF"/>
    <w:rsid w:val="00654667"/>
    <w:rsid w:val="006547CC"/>
    <w:rsid w:val="00654A10"/>
    <w:rsid w:val="00654AAB"/>
    <w:rsid w:val="00654BA8"/>
    <w:rsid w:val="00654F4B"/>
    <w:rsid w:val="006554A2"/>
    <w:rsid w:val="00655B58"/>
    <w:rsid w:val="00655C74"/>
    <w:rsid w:val="00655F9E"/>
    <w:rsid w:val="0065628E"/>
    <w:rsid w:val="006567A8"/>
    <w:rsid w:val="00656952"/>
    <w:rsid w:val="00656C47"/>
    <w:rsid w:val="006570ED"/>
    <w:rsid w:val="00657148"/>
    <w:rsid w:val="00657356"/>
    <w:rsid w:val="00657468"/>
    <w:rsid w:val="006578D7"/>
    <w:rsid w:val="0066093E"/>
    <w:rsid w:val="006609C7"/>
    <w:rsid w:val="00660AFE"/>
    <w:rsid w:val="00661B90"/>
    <w:rsid w:val="006628D0"/>
    <w:rsid w:val="00662ADF"/>
    <w:rsid w:val="0066384D"/>
    <w:rsid w:val="00664085"/>
    <w:rsid w:val="006641D7"/>
    <w:rsid w:val="00664D1C"/>
    <w:rsid w:val="006654B3"/>
    <w:rsid w:val="006656F7"/>
    <w:rsid w:val="00665FEA"/>
    <w:rsid w:val="00666246"/>
    <w:rsid w:val="006662BD"/>
    <w:rsid w:val="00666ADD"/>
    <w:rsid w:val="00666BE4"/>
    <w:rsid w:val="00666C6C"/>
    <w:rsid w:val="00667060"/>
    <w:rsid w:val="00667616"/>
    <w:rsid w:val="00670234"/>
    <w:rsid w:val="006705DB"/>
    <w:rsid w:val="006705EC"/>
    <w:rsid w:val="00670B3C"/>
    <w:rsid w:val="00671592"/>
    <w:rsid w:val="00671A7D"/>
    <w:rsid w:val="00672AD5"/>
    <w:rsid w:val="00672D42"/>
    <w:rsid w:val="00673050"/>
    <w:rsid w:val="0067343D"/>
    <w:rsid w:val="00673D3E"/>
    <w:rsid w:val="00673E7A"/>
    <w:rsid w:val="00674071"/>
    <w:rsid w:val="00674241"/>
    <w:rsid w:val="00674FFF"/>
    <w:rsid w:val="00676200"/>
    <w:rsid w:val="00677209"/>
    <w:rsid w:val="00677CD5"/>
    <w:rsid w:val="0068034C"/>
    <w:rsid w:val="00680559"/>
    <w:rsid w:val="0068088B"/>
    <w:rsid w:val="0068093A"/>
    <w:rsid w:val="00681F22"/>
    <w:rsid w:val="0068278F"/>
    <w:rsid w:val="0068293C"/>
    <w:rsid w:val="00683393"/>
    <w:rsid w:val="0068357F"/>
    <w:rsid w:val="006838C9"/>
    <w:rsid w:val="00683DF7"/>
    <w:rsid w:val="00684000"/>
    <w:rsid w:val="00684034"/>
    <w:rsid w:val="00684969"/>
    <w:rsid w:val="006849CD"/>
    <w:rsid w:val="00684A33"/>
    <w:rsid w:val="00684A57"/>
    <w:rsid w:val="00684E53"/>
    <w:rsid w:val="0068562F"/>
    <w:rsid w:val="006859AC"/>
    <w:rsid w:val="00685B8F"/>
    <w:rsid w:val="00686856"/>
    <w:rsid w:val="00686E76"/>
    <w:rsid w:val="0068704B"/>
    <w:rsid w:val="006871D3"/>
    <w:rsid w:val="006903E2"/>
    <w:rsid w:val="0069044D"/>
    <w:rsid w:val="00690901"/>
    <w:rsid w:val="0069099C"/>
    <w:rsid w:val="00690A05"/>
    <w:rsid w:val="00690B7D"/>
    <w:rsid w:val="00690C2F"/>
    <w:rsid w:val="006910ED"/>
    <w:rsid w:val="006910FB"/>
    <w:rsid w:val="00691136"/>
    <w:rsid w:val="0069147A"/>
    <w:rsid w:val="006916A3"/>
    <w:rsid w:val="00691B10"/>
    <w:rsid w:val="00691F9B"/>
    <w:rsid w:val="0069267F"/>
    <w:rsid w:val="00692E87"/>
    <w:rsid w:val="006934F5"/>
    <w:rsid w:val="006941DE"/>
    <w:rsid w:val="006945DA"/>
    <w:rsid w:val="006950A5"/>
    <w:rsid w:val="0069517F"/>
    <w:rsid w:val="006954DA"/>
    <w:rsid w:val="00695913"/>
    <w:rsid w:val="00695C41"/>
    <w:rsid w:val="00696931"/>
    <w:rsid w:val="00697AC1"/>
    <w:rsid w:val="00697DFB"/>
    <w:rsid w:val="00697EAE"/>
    <w:rsid w:val="006A0218"/>
    <w:rsid w:val="006A0BC0"/>
    <w:rsid w:val="006A108B"/>
    <w:rsid w:val="006A1218"/>
    <w:rsid w:val="006A24C4"/>
    <w:rsid w:val="006A2642"/>
    <w:rsid w:val="006A2F2A"/>
    <w:rsid w:val="006A38F0"/>
    <w:rsid w:val="006A3977"/>
    <w:rsid w:val="006A4652"/>
    <w:rsid w:val="006A49BC"/>
    <w:rsid w:val="006A49F2"/>
    <w:rsid w:val="006A4A31"/>
    <w:rsid w:val="006A4D9F"/>
    <w:rsid w:val="006A5254"/>
    <w:rsid w:val="006A67ED"/>
    <w:rsid w:val="006A70FA"/>
    <w:rsid w:val="006B15DA"/>
    <w:rsid w:val="006B178F"/>
    <w:rsid w:val="006B1D2C"/>
    <w:rsid w:val="006B2D00"/>
    <w:rsid w:val="006B30B1"/>
    <w:rsid w:val="006B34A6"/>
    <w:rsid w:val="006B3713"/>
    <w:rsid w:val="006B3A0E"/>
    <w:rsid w:val="006B428A"/>
    <w:rsid w:val="006B49DF"/>
    <w:rsid w:val="006B7FCA"/>
    <w:rsid w:val="006C03D6"/>
    <w:rsid w:val="006C03E0"/>
    <w:rsid w:val="006C0721"/>
    <w:rsid w:val="006C092D"/>
    <w:rsid w:val="006C1A36"/>
    <w:rsid w:val="006C1D07"/>
    <w:rsid w:val="006C2304"/>
    <w:rsid w:val="006C2705"/>
    <w:rsid w:val="006C351C"/>
    <w:rsid w:val="006C37C3"/>
    <w:rsid w:val="006C3D53"/>
    <w:rsid w:val="006C3F95"/>
    <w:rsid w:val="006C49A5"/>
    <w:rsid w:val="006C4B8D"/>
    <w:rsid w:val="006C4C1F"/>
    <w:rsid w:val="006C5941"/>
    <w:rsid w:val="006C634A"/>
    <w:rsid w:val="006C6C35"/>
    <w:rsid w:val="006C78CB"/>
    <w:rsid w:val="006D0501"/>
    <w:rsid w:val="006D15A8"/>
    <w:rsid w:val="006D17F7"/>
    <w:rsid w:val="006D20FE"/>
    <w:rsid w:val="006D2178"/>
    <w:rsid w:val="006D2AF0"/>
    <w:rsid w:val="006D2E27"/>
    <w:rsid w:val="006D466A"/>
    <w:rsid w:val="006D49F1"/>
    <w:rsid w:val="006D4A1D"/>
    <w:rsid w:val="006D4F8C"/>
    <w:rsid w:val="006D52D7"/>
    <w:rsid w:val="006D53E6"/>
    <w:rsid w:val="006D5765"/>
    <w:rsid w:val="006D59B4"/>
    <w:rsid w:val="006D5D18"/>
    <w:rsid w:val="006D6096"/>
    <w:rsid w:val="006D658A"/>
    <w:rsid w:val="006D7713"/>
    <w:rsid w:val="006E01DC"/>
    <w:rsid w:val="006E02BD"/>
    <w:rsid w:val="006E03B1"/>
    <w:rsid w:val="006E0D60"/>
    <w:rsid w:val="006E0E25"/>
    <w:rsid w:val="006E0F63"/>
    <w:rsid w:val="006E18D3"/>
    <w:rsid w:val="006E1D4C"/>
    <w:rsid w:val="006E2192"/>
    <w:rsid w:val="006E27DA"/>
    <w:rsid w:val="006E283A"/>
    <w:rsid w:val="006E3BE0"/>
    <w:rsid w:val="006E3C68"/>
    <w:rsid w:val="006E3DC0"/>
    <w:rsid w:val="006E45C3"/>
    <w:rsid w:val="006E5435"/>
    <w:rsid w:val="006E554A"/>
    <w:rsid w:val="006E5E10"/>
    <w:rsid w:val="006E6A79"/>
    <w:rsid w:val="006E707C"/>
    <w:rsid w:val="006E7326"/>
    <w:rsid w:val="006E7579"/>
    <w:rsid w:val="006E787F"/>
    <w:rsid w:val="006E7EB5"/>
    <w:rsid w:val="006F01B8"/>
    <w:rsid w:val="006F05F3"/>
    <w:rsid w:val="006F0948"/>
    <w:rsid w:val="006F1154"/>
    <w:rsid w:val="006F225D"/>
    <w:rsid w:val="006F231C"/>
    <w:rsid w:val="006F3288"/>
    <w:rsid w:val="006F33B2"/>
    <w:rsid w:val="006F39A4"/>
    <w:rsid w:val="006F3A93"/>
    <w:rsid w:val="006F468F"/>
    <w:rsid w:val="006F47AD"/>
    <w:rsid w:val="006F4EB9"/>
    <w:rsid w:val="006F4FB8"/>
    <w:rsid w:val="006F5707"/>
    <w:rsid w:val="006F5807"/>
    <w:rsid w:val="006F59C8"/>
    <w:rsid w:val="006F6405"/>
    <w:rsid w:val="006F69C1"/>
    <w:rsid w:val="006F71B9"/>
    <w:rsid w:val="006F7A89"/>
    <w:rsid w:val="007002C3"/>
    <w:rsid w:val="00700C9B"/>
    <w:rsid w:val="00700D9C"/>
    <w:rsid w:val="00701246"/>
    <w:rsid w:val="0070172A"/>
    <w:rsid w:val="00701924"/>
    <w:rsid w:val="007025C1"/>
    <w:rsid w:val="00703B9E"/>
    <w:rsid w:val="00703E58"/>
    <w:rsid w:val="007041E4"/>
    <w:rsid w:val="00704548"/>
    <w:rsid w:val="00704906"/>
    <w:rsid w:val="00704956"/>
    <w:rsid w:val="00704E2E"/>
    <w:rsid w:val="007051F6"/>
    <w:rsid w:val="00705241"/>
    <w:rsid w:val="007053FA"/>
    <w:rsid w:val="00705604"/>
    <w:rsid w:val="00705646"/>
    <w:rsid w:val="00705B61"/>
    <w:rsid w:val="007060BD"/>
    <w:rsid w:val="00706394"/>
    <w:rsid w:val="007067E5"/>
    <w:rsid w:val="00706A8A"/>
    <w:rsid w:val="00706E7E"/>
    <w:rsid w:val="00707CE7"/>
    <w:rsid w:val="00707E26"/>
    <w:rsid w:val="0071056B"/>
    <w:rsid w:val="00710987"/>
    <w:rsid w:val="00710C04"/>
    <w:rsid w:val="00710F23"/>
    <w:rsid w:val="007122AE"/>
    <w:rsid w:val="0071234E"/>
    <w:rsid w:val="007127B4"/>
    <w:rsid w:val="00712AA2"/>
    <w:rsid w:val="00712BA0"/>
    <w:rsid w:val="00712BF9"/>
    <w:rsid w:val="00712D9A"/>
    <w:rsid w:val="0071482A"/>
    <w:rsid w:val="00714DC1"/>
    <w:rsid w:val="00714FCB"/>
    <w:rsid w:val="007155D9"/>
    <w:rsid w:val="00715867"/>
    <w:rsid w:val="00715974"/>
    <w:rsid w:val="00715BA0"/>
    <w:rsid w:val="00717656"/>
    <w:rsid w:val="007177A4"/>
    <w:rsid w:val="00720535"/>
    <w:rsid w:val="00720587"/>
    <w:rsid w:val="00720A2D"/>
    <w:rsid w:val="00721074"/>
    <w:rsid w:val="007222B8"/>
    <w:rsid w:val="007227A1"/>
    <w:rsid w:val="0072290C"/>
    <w:rsid w:val="00722F05"/>
    <w:rsid w:val="0072331B"/>
    <w:rsid w:val="007234F3"/>
    <w:rsid w:val="00723941"/>
    <w:rsid w:val="00724E9E"/>
    <w:rsid w:val="007251E5"/>
    <w:rsid w:val="00725554"/>
    <w:rsid w:val="00726130"/>
    <w:rsid w:val="0072641B"/>
    <w:rsid w:val="007273DD"/>
    <w:rsid w:val="00727518"/>
    <w:rsid w:val="00727D64"/>
    <w:rsid w:val="00727E59"/>
    <w:rsid w:val="00731916"/>
    <w:rsid w:val="00731BD5"/>
    <w:rsid w:val="0073295C"/>
    <w:rsid w:val="00732B04"/>
    <w:rsid w:val="00732B8D"/>
    <w:rsid w:val="0073457D"/>
    <w:rsid w:val="00734C49"/>
    <w:rsid w:val="00734D40"/>
    <w:rsid w:val="00734F03"/>
    <w:rsid w:val="00735713"/>
    <w:rsid w:val="00736081"/>
    <w:rsid w:val="00736399"/>
    <w:rsid w:val="007367FA"/>
    <w:rsid w:val="00736D62"/>
    <w:rsid w:val="00736D93"/>
    <w:rsid w:val="00736F4F"/>
    <w:rsid w:val="007370F3"/>
    <w:rsid w:val="00737C31"/>
    <w:rsid w:val="00737D29"/>
    <w:rsid w:val="007404F8"/>
    <w:rsid w:val="00740623"/>
    <w:rsid w:val="0074064F"/>
    <w:rsid w:val="00740C2E"/>
    <w:rsid w:val="00740E4B"/>
    <w:rsid w:val="00740ECE"/>
    <w:rsid w:val="0074114C"/>
    <w:rsid w:val="007413CF"/>
    <w:rsid w:val="00741869"/>
    <w:rsid w:val="00742688"/>
    <w:rsid w:val="007426B8"/>
    <w:rsid w:val="00742D47"/>
    <w:rsid w:val="0074319C"/>
    <w:rsid w:val="007446D7"/>
    <w:rsid w:val="00744907"/>
    <w:rsid w:val="00744A6F"/>
    <w:rsid w:val="007452EE"/>
    <w:rsid w:val="00745A1E"/>
    <w:rsid w:val="00746F2C"/>
    <w:rsid w:val="007472BA"/>
    <w:rsid w:val="00747486"/>
    <w:rsid w:val="007502A4"/>
    <w:rsid w:val="00750586"/>
    <w:rsid w:val="0075075F"/>
    <w:rsid w:val="007507CF"/>
    <w:rsid w:val="007511A8"/>
    <w:rsid w:val="007512CE"/>
    <w:rsid w:val="0075132B"/>
    <w:rsid w:val="00751C42"/>
    <w:rsid w:val="0075227C"/>
    <w:rsid w:val="00753524"/>
    <w:rsid w:val="0075352C"/>
    <w:rsid w:val="0075443B"/>
    <w:rsid w:val="007544B9"/>
    <w:rsid w:val="00754697"/>
    <w:rsid w:val="00754F14"/>
    <w:rsid w:val="0075596E"/>
    <w:rsid w:val="00755A36"/>
    <w:rsid w:val="00755AC4"/>
    <w:rsid w:val="00755B49"/>
    <w:rsid w:val="00755DDA"/>
    <w:rsid w:val="00756020"/>
    <w:rsid w:val="007560CA"/>
    <w:rsid w:val="00756396"/>
    <w:rsid w:val="00757B1F"/>
    <w:rsid w:val="00757CA8"/>
    <w:rsid w:val="007609FC"/>
    <w:rsid w:val="00760ADB"/>
    <w:rsid w:val="007610BA"/>
    <w:rsid w:val="00761246"/>
    <w:rsid w:val="00761A77"/>
    <w:rsid w:val="007620EA"/>
    <w:rsid w:val="00762253"/>
    <w:rsid w:val="00762C1D"/>
    <w:rsid w:val="007631AF"/>
    <w:rsid w:val="00763895"/>
    <w:rsid w:val="00764037"/>
    <w:rsid w:val="00764272"/>
    <w:rsid w:val="00764B62"/>
    <w:rsid w:val="00764ED7"/>
    <w:rsid w:val="007654A8"/>
    <w:rsid w:val="00765C16"/>
    <w:rsid w:val="00765E4E"/>
    <w:rsid w:val="0076648A"/>
    <w:rsid w:val="00766A9D"/>
    <w:rsid w:val="00767D4F"/>
    <w:rsid w:val="00767FBA"/>
    <w:rsid w:val="00770317"/>
    <w:rsid w:val="007710B3"/>
    <w:rsid w:val="0077124B"/>
    <w:rsid w:val="007714A3"/>
    <w:rsid w:val="0077183B"/>
    <w:rsid w:val="00771B4E"/>
    <w:rsid w:val="00771C05"/>
    <w:rsid w:val="007723F9"/>
    <w:rsid w:val="00772447"/>
    <w:rsid w:val="00772F09"/>
    <w:rsid w:val="0077361B"/>
    <w:rsid w:val="00773B51"/>
    <w:rsid w:val="00774704"/>
    <w:rsid w:val="00774CB5"/>
    <w:rsid w:val="00775966"/>
    <w:rsid w:val="00775E66"/>
    <w:rsid w:val="0077757F"/>
    <w:rsid w:val="007777EA"/>
    <w:rsid w:val="00777BB5"/>
    <w:rsid w:val="00777DE1"/>
    <w:rsid w:val="00777E61"/>
    <w:rsid w:val="00780135"/>
    <w:rsid w:val="00780253"/>
    <w:rsid w:val="00780BAC"/>
    <w:rsid w:val="00780C0E"/>
    <w:rsid w:val="00780EC9"/>
    <w:rsid w:val="00780ECB"/>
    <w:rsid w:val="007812AD"/>
    <w:rsid w:val="00781E9B"/>
    <w:rsid w:val="007822B1"/>
    <w:rsid w:val="007824A8"/>
    <w:rsid w:val="00782965"/>
    <w:rsid w:val="00783BA6"/>
    <w:rsid w:val="00784361"/>
    <w:rsid w:val="007843A9"/>
    <w:rsid w:val="0078514D"/>
    <w:rsid w:val="0078538A"/>
    <w:rsid w:val="00785DB3"/>
    <w:rsid w:val="00786AFB"/>
    <w:rsid w:val="0078730D"/>
    <w:rsid w:val="00787988"/>
    <w:rsid w:val="00787FB9"/>
    <w:rsid w:val="00790D9A"/>
    <w:rsid w:val="007910B0"/>
    <w:rsid w:val="00791290"/>
    <w:rsid w:val="00791BCE"/>
    <w:rsid w:val="00791C3A"/>
    <w:rsid w:val="00791ECF"/>
    <w:rsid w:val="00793587"/>
    <w:rsid w:val="00793761"/>
    <w:rsid w:val="00793C40"/>
    <w:rsid w:val="0079406D"/>
    <w:rsid w:val="0079420B"/>
    <w:rsid w:val="00794340"/>
    <w:rsid w:val="007947D0"/>
    <w:rsid w:val="007950A1"/>
    <w:rsid w:val="007951FE"/>
    <w:rsid w:val="00795E99"/>
    <w:rsid w:val="007961AE"/>
    <w:rsid w:val="00796955"/>
    <w:rsid w:val="00796F5F"/>
    <w:rsid w:val="00796F62"/>
    <w:rsid w:val="00797A0D"/>
    <w:rsid w:val="00797DB1"/>
    <w:rsid w:val="007A0110"/>
    <w:rsid w:val="007A0818"/>
    <w:rsid w:val="007A08A0"/>
    <w:rsid w:val="007A094F"/>
    <w:rsid w:val="007A2449"/>
    <w:rsid w:val="007A2451"/>
    <w:rsid w:val="007A30CF"/>
    <w:rsid w:val="007A31DF"/>
    <w:rsid w:val="007A3E39"/>
    <w:rsid w:val="007A4185"/>
    <w:rsid w:val="007A44A8"/>
    <w:rsid w:val="007A4A0C"/>
    <w:rsid w:val="007A4D48"/>
    <w:rsid w:val="007A4F09"/>
    <w:rsid w:val="007A50B0"/>
    <w:rsid w:val="007A50BB"/>
    <w:rsid w:val="007A513F"/>
    <w:rsid w:val="007A519C"/>
    <w:rsid w:val="007A57FE"/>
    <w:rsid w:val="007A592D"/>
    <w:rsid w:val="007A6093"/>
    <w:rsid w:val="007A6266"/>
    <w:rsid w:val="007A6CAD"/>
    <w:rsid w:val="007A7AEF"/>
    <w:rsid w:val="007B05CF"/>
    <w:rsid w:val="007B0EFB"/>
    <w:rsid w:val="007B2E9D"/>
    <w:rsid w:val="007B3999"/>
    <w:rsid w:val="007B45B6"/>
    <w:rsid w:val="007B4691"/>
    <w:rsid w:val="007B538A"/>
    <w:rsid w:val="007B5BC4"/>
    <w:rsid w:val="007B5FDB"/>
    <w:rsid w:val="007B601E"/>
    <w:rsid w:val="007B6253"/>
    <w:rsid w:val="007B6678"/>
    <w:rsid w:val="007B6960"/>
    <w:rsid w:val="007B6B9C"/>
    <w:rsid w:val="007B7407"/>
    <w:rsid w:val="007B7D49"/>
    <w:rsid w:val="007C0483"/>
    <w:rsid w:val="007C07A8"/>
    <w:rsid w:val="007C1291"/>
    <w:rsid w:val="007C1549"/>
    <w:rsid w:val="007C1662"/>
    <w:rsid w:val="007C1D84"/>
    <w:rsid w:val="007C2425"/>
    <w:rsid w:val="007C2A73"/>
    <w:rsid w:val="007C2D33"/>
    <w:rsid w:val="007C36BD"/>
    <w:rsid w:val="007C3842"/>
    <w:rsid w:val="007C4164"/>
    <w:rsid w:val="007C4CAD"/>
    <w:rsid w:val="007C4FFF"/>
    <w:rsid w:val="007C56B2"/>
    <w:rsid w:val="007C59BD"/>
    <w:rsid w:val="007C5DFD"/>
    <w:rsid w:val="007C66D1"/>
    <w:rsid w:val="007C6AA9"/>
    <w:rsid w:val="007C6D95"/>
    <w:rsid w:val="007C7C72"/>
    <w:rsid w:val="007D005B"/>
    <w:rsid w:val="007D02AB"/>
    <w:rsid w:val="007D040D"/>
    <w:rsid w:val="007D0998"/>
    <w:rsid w:val="007D0CA1"/>
    <w:rsid w:val="007D17B3"/>
    <w:rsid w:val="007D2709"/>
    <w:rsid w:val="007D2815"/>
    <w:rsid w:val="007D2C2B"/>
    <w:rsid w:val="007D2F1C"/>
    <w:rsid w:val="007D31F3"/>
    <w:rsid w:val="007D3CA4"/>
    <w:rsid w:val="007D427B"/>
    <w:rsid w:val="007D4704"/>
    <w:rsid w:val="007D47E1"/>
    <w:rsid w:val="007D4AD6"/>
    <w:rsid w:val="007D4ED9"/>
    <w:rsid w:val="007D53C8"/>
    <w:rsid w:val="007D55AD"/>
    <w:rsid w:val="007D5DA9"/>
    <w:rsid w:val="007D5F6D"/>
    <w:rsid w:val="007D71D5"/>
    <w:rsid w:val="007D72E4"/>
    <w:rsid w:val="007D74E3"/>
    <w:rsid w:val="007D7D05"/>
    <w:rsid w:val="007E0786"/>
    <w:rsid w:val="007E09CC"/>
    <w:rsid w:val="007E0D8C"/>
    <w:rsid w:val="007E105A"/>
    <w:rsid w:val="007E14A5"/>
    <w:rsid w:val="007E14E1"/>
    <w:rsid w:val="007E175E"/>
    <w:rsid w:val="007E2191"/>
    <w:rsid w:val="007E2210"/>
    <w:rsid w:val="007E2603"/>
    <w:rsid w:val="007E2D6A"/>
    <w:rsid w:val="007E3678"/>
    <w:rsid w:val="007E5892"/>
    <w:rsid w:val="007E59F0"/>
    <w:rsid w:val="007E608D"/>
    <w:rsid w:val="007E65AF"/>
    <w:rsid w:val="007E6A28"/>
    <w:rsid w:val="007E7A8F"/>
    <w:rsid w:val="007E7D67"/>
    <w:rsid w:val="007F0502"/>
    <w:rsid w:val="007F0BE1"/>
    <w:rsid w:val="007F1DBB"/>
    <w:rsid w:val="007F1F77"/>
    <w:rsid w:val="007F1FDB"/>
    <w:rsid w:val="007F263B"/>
    <w:rsid w:val="007F2E86"/>
    <w:rsid w:val="007F30DD"/>
    <w:rsid w:val="007F3570"/>
    <w:rsid w:val="007F36BE"/>
    <w:rsid w:val="007F3D26"/>
    <w:rsid w:val="007F4AB2"/>
    <w:rsid w:val="007F4E70"/>
    <w:rsid w:val="007F534C"/>
    <w:rsid w:val="007F5430"/>
    <w:rsid w:val="007F693B"/>
    <w:rsid w:val="007F6D35"/>
    <w:rsid w:val="007F7F20"/>
    <w:rsid w:val="007F7FD0"/>
    <w:rsid w:val="008000A5"/>
    <w:rsid w:val="00800F25"/>
    <w:rsid w:val="00800F53"/>
    <w:rsid w:val="00801E66"/>
    <w:rsid w:val="008022F9"/>
    <w:rsid w:val="00803548"/>
    <w:rsid w:val="00803817"/>
    <w:rsid w:val="00804883"/>
    <w:rsid w:val="00804B0A"/>
    <w:rsid w:val="00804CD7"/>
    <w:rsid w:val="00805359"/>
    <w:rsid w:val="00805A4F"/>
    <w:rsid w:val="00805F6C"/>
    <w:rsid w:val="008066A9"/>
    <w:rsid w:val="00806D91"/>
    <w:rsid w:val="00806E9E"/>
    <w:rsid w:val="00807812"/>
    <w:rsid w:val="00807EAC"/>
    <w:rsid w:val="00807FB1"/>
    <w:rsid w:val="00810879"/>
    <w:rsid w:val="008109E0"/>
    <w:rsid w:val="00810F55"/>
    <w:rsid w:val="00811EE6"/>
    <w:rsid w:val="00812208"/>
    <w:rsid w:val="00813076"/>
    <w:rsid w:val="008133CB"/>
    <w:rsid w:val="00813C3C"/>
    <w:rsid w:val="00813EFF"/>
    <w:rsid w:val="008144E6"/>
    <w:rsid w:val="00814701"/>
    <w:rsid w:val="008149FB"/>
    <w:rsid w:val="0081557A"/>
    <w:rsid w:val="008157A2"/>
    <w:rsid w:val="008157BA"/>
    <w:rsid w:val="00815C4B"/>
    <w:rsid w:val="00815E75"/>
    <w:rsid w:val="00816A93"/>
    <w:rsid w:val="00816F86"/>
    <w:rsid w:val="00817236"/>
    <w:rsid w:val="00817580"/>
    <w:rsid w:val="008177A0"/>
    <w:rsid w:val="00820D81"/>
    <w:rsid w:val="00820DBB"/>
    <w:rsid w:val="00821059"/>
    <w:rsid w:val="008213EC"/>
    <w:rsid w:val="0082196D"/>
    <w:rsid w:val="0082198A"/>
    <w:rsid w:val="00821C52"/>
    <w:rsid w:val="0082245F"/>
    <w:rsid w:val="0082293F"/>
    <w:rsid w:val="00822C6C"/>
    <w:rsid w:val="00823A29"/>
    <w:rsid w:val="00823D3A"/>
    <w:rsid w:val="00823E96"/>
    <w:rsid w:val="00823F9D"/>
    <w:rsid w:val="00824151"/>
    <w:rsid w:val="008241E1"/>
    <w:rsid w:val="00824439"/>
    <w:rsid w:val="0082507E"/>
    <w:rsid w:val="0082550B"/>
    <w:rsid w:val="00825614"/>
    <w:rsid w:val="00825780"/>
    <w:rsid w:val="00825E17"/>
    <w:rsid w:val="00826D89"/>
    <w:rsid w:val="00827040"/>
    <w:rsid w:val="00827374"/>
    <w:rsid w:val="008273BB"/>
    <w:rsid w:val="008274C9"/>
    <w:rsid w:val="00827647"/>
    <w:rsid w:val="008278FF"/>
    <w:rsid w:val="00830032"/>
    <w:rsid w:val="008310E9"/>
    <w:rsid w:val="00831999"/>
    <w:rsid w:val="00831DEE"/>
    <w:rsid w:val="008323D9"/>
    <w:rsid w:val="008326D9"/>
    <w:rsid w:val="00832771"/>
    <w:rsid w:val="00832C70"/>
    <w:rsid w:val="00832CA5"/>
    <w:rsid w:val="00832F05"/>
    <w:rsid w:val="00833282"/>
    <w:rsid w:val="008334E6"/>
    <w:rsid w:val="00833A8C"/>
    <w:rsid w:val="00833CDD"/>
    <w:rsid w:val="00834FB1"/>
    <w:rsid w:val="008355A6"/>
    <w:rsid w:val="008362B5"/>
    <w:rsid w:val="0083634D"/>
    <w:rsid w:val="008364D5"/>
    <w:rsid w:val="008365B9"/>
    <w:rsid w:val="00836EF2"/>
    <w:rsid w:val="008370E0"/>
    <w:rsid w:val="00837EE0"/>
    <w:rsid w:val="00837FA6"/>
    <w:rsid w:val="008400C6"/>
    <w:rsid w:val="00841596"/>
    <w:rsid w:val="008416AC"/>
    <w:rsid w:val="00841EB5"/>
    <w:rsid w:val="00842064"/>
    <w:rsid w:val="00842606"/>
    <w:rsid w:val="0084316C"/>
    <w:rsid w:val="0084374A"/>
    <w:rsid w:val="008437ED"/>
    <w:rsid w:val="0084429B"/>
    <w:rsid w:val="008452DA"/>
    <w:rsid w:val="008453C2"/>
    <w:rsid w:val="0084654E"/>
    <w:rsid w:val="00846654"/>
    <w:rsid w:val="00846AEC"/>
    <w:rsid w:val="00846E4E"/>
    <w:rsid w:val="008477D1"/>
    <w:rsid w:val="00847C0B"/>
    <w:rsid w:val="00847C8F"/>
    <w:rsid w:val="00847D32"/>
    <w:rsid w:val="008501A3"/>
    <w:rsid w:val="008506EF"/>
    <w:rsid w:val="00851CB7"/>
    <w:rsid w:val="008520B4"/>
    <w:rsid w:val="00852A6F"/>
    <w:rsid w:val="00852AF0"/>
    <w:rsid w:val="00852CE8"/>
    <w:rsid w:val="00852EC8"/>
    <w:rsid w:val="0085323C"/>
    <w:rsid w:val="00853BC9"/>
    <w:rsid w:val="00854A2A"/>
    <w:rsid w:val="00854DDB"/>
    <w:rsid w:val="008565C6"/>
    <w:rsid w:val="008565D6"/>
    <w:rsid w:val="008566A7"/>
    <w:rsid w:val="0085679B"/>
    <w:rsid w:val="00856845"/>
    <w:rsid w:val="0086049F"/>
    <w:rsid w:val="00860572"/>
    <w:rsid w:val="00860FEC"/>
    <w:rsid w:val="008619FD"/>
    <w:rsid w:val="00861A7F"/>
    <w:rsid w:val="008625EF"/>
    <w:rsid w:val="00862AE4"/>
    <w:rsid w:val="0086327F"/>
    <w:rsid w:val="0086337B"/>
    <w:rsid w:val="008636BE"/>
    <w:rsid w:val="00863858"/>
    <w:rsid w:val="008647EB"/>
    <w:rsid w:val="00864933"/>
    <w:rsid w:val="00864D1A"/>
    <w:rsid w:val="00864F33"/>
    <w:rsid w:val="008652A3"/>
    <w:rsid w:val="0086562B"/>
    <w:rsid w:val="008665A1"/>
    <w:rsid w:val="008666E4"/>
    <w:rsid w:val="008666E8"/>
    <w:rsid w:val="0086691E"/>
    <w:rsid w:val="00866937"/>
    <w:rsid w:val="00866A34"/>
    <w:rsid w:val="0086749D"/>
    <w:rsid w:val="00870D25"/>
    <w:rsid w:val="00870F25"/>
    <w:rsid w:val="0087176F"/>
    <w:rsid w:val="008721C8"/>
    <w:rsid w:val="008726DD"/>
    <w:rsid w:val="0087284D"/>
    <w:rsid w:val="00872AB2"/>
    <w:rsid w:val="00872B81"/>
    <w:rsid w:val="00873425"/>
    <w:rsid w:val="00873BEE"/>
    <w:rsid w:val="0087422E"/>
    <w:rsid w:val="00874641"/>
    <w:rsid w:val="008747B0"/>
    <w:rsid w:val="00874810"/>
    <w:rsid w:val="008751A9"/>
    <w:rsid w:val="008754BA"/>
    <w:rsid w:val="00876A34"/>
    <w:rsid w:val="00876F92"/>
    <w:rsid w:val="00877646"/>
    <w:rsid w:val="00877825"/>
    <w:rsid w:val="008805DE"/>
    <w:rsid w:val="00880716"/>
    <w:rsid w:val="00880A8E"/>
    <w:rsid w:val="00881641"/>
    <w:rsid w:val="008817AD"/>
    <w:rsid w:val="00881C6C"/>
    <w:rsid w:val="0088293F"/>
    <w:rsid w:val="00882A45"/>
    <w:rsid w:val="00882F09"/>
    <w:rsid w:val="00882FAE"/>
    <w:rsid w:val="00884E9C"/>
    <w:rsid w:val="0088577C"/>
    <w:rsid w:val="00885D55"/>
    <w:rsid w:val="008861FB"/>
    <w:rsid w:val="00886204"/>
    <w:rsid w:val="00886894"/>
    <w:rsid w:val="0088692A"/>
    <w:rsid w:val="00887850"/>
    <w:rsid w:val="008879E3"/>
    <w:rsid w:val="008907B4"/>
    <w:rsid w:val="00890911"/>
    <w:rsid w:val="00890E26"/>
    <w:rsid w:val="00890E7F"/>
    <w:rsid w:val="008910FD"/>
    <w:rsid w:val="00891570"/>
    <w:rsid w:val="00891CEB"/>
    <w:rsid w:val="0089279C"/>
    <w:rsid w:val="008928EE"/>
    <w:rsid w:val="00893506"/>
    <w:rsid w:val="00893813"/>
    <w:rsid w:val="0089392E"/>
    <w:rsid w:val="00893A70"/>
    <w:rsid w:val="00893E46"/>
    <w:rsid w:val="00894A4A"/>
    <w:rsid w:val="008959F7"/>
    <w:rsid w:val="00895A5C"/>
    <w:rsid w:val="00895BDB"/>
    <w:rsid w:val="00895EC3"/>
    <w:rsid w:val="00895F1C"/>
    <w:rsid w:val="008961E7"/>
    <w:rsid w:val="008961FA"/>
    <w:rsid w:val="00896487"/>
    <w:rsid w:val="00896C13"/>
    <w:rsid w:val="00897424"/>
    <w:rsid w:val="00897942"/>
    <w:rsid w:val="008A00B5"/>
    <w:rsid w:val="008A00B6"/>
    <w:rsid w:val="008A094A"/>
    <w:rsid w:val="008A0C1E"/>
    <w:rsid w:val="008A0D63"/>
    <w:rsid w:val="008A16A5"/>
    <w:rsid w:val="008A18EE"/>
    <w:rsid w:val="008A197A"/>
    <w:rsid w:val="008A1DB1"/>
    <w:rsid w:val="008A1FD3"/>
    <w:rsid w:val="008A24D8"/>
    <w:rsid w:val="008A2521"/>
    <w:rsid w:val="008A298C"/>
    <w:rsid w:val="008A2BD3"/>
    <w:rsid w:val="008A385B"/>
    <w:rsid w:val="008A413E"/>
    <w:rsid w:val="008A4315"/>
    <w:rsid w:val="008A436A"/>
    <w:rsid w:val="008A4573"/>
    <w:rsid w:val="008A47FA"/>
    <w:rsid w:val="008A4F05"/>
    <w:rsid w:val="008A52F3"/>
    <w:rsid w:val="008A5C2C"/>
    <w:rsid w:val="008A5C3C"/>
    <w:rsid w:val="008A6108"/>
    <w:rsid w:val="008A71F3"/>
    <w:rsid w:val="008A7562"/>
    <w:rsid w:val="008A7582"/>
    <w:rsid w:val="008A76F8"/>
    <w:rsid w:val="008A79DE"/>
    <w:rsid w:val="008A7B40"/>
    <w:rsid w:val="008B03EA"/>
    <w:rsid w:val="008B04A3"/>
    <w:rsid w:val="008B0777"/>
    <w:rsid w:val="008B0C61"/>
    <w:rsid w:val="008B1144"/>
    <w:rsid w:val="008B134E"/>
    <w:rsid w:val="008B15E4"/>
    <w:rsid w:val="008B1FD0"/>
    <w:rsid w:val="008B4370"/>
    <w:rsid w:val="008B4A44"/>
    <w:rsid w:val="008B5139"/>
    <w:rsid w:val="008B52AC"/>
    <w:rsid w:val="008B569C"/>
    <w:rsid w:val="008B6128"/>
    <w:rsid w:val="008B6A91"/>
    <w:rsid w:val="008B70F0"/>
    <w:rsid w:val="008B742F"/>
    <w:rsid w:val="008B767C"/>
    <w:rsid w:val="008B7F06"/>
    <w:rsid w:val="008C06CE"/>
    <w:rsid w:val="008C09A9"/>
    <w:rsid w:val="008C0E91"/>
    <w:rsid w:val="008C1204"/>
    <w:rsid w:val="008C13B4"/>
    <w:rsid w:val="008C1E44"/>
    <w:rsid w:val="008C2217"/>
    <w:rsid w:val="008C26C1"/>
    <w:rsid w:val="008C3CB3"/>
    <w:rsid w:val="008C3E6C"/>
    <w:rsid w:val="008C3EC1"/>
    <w:rsid w:val="008C3FF3"/>
    <w:rsid w:val="008C4630"/>
    <w:rsid w:val="008C533F"/>
    <w:rsid w:val="008C5573"/>
    <w:rsid w:val="008C571F"/>
    <w:rsid w:val="008C5A87"/>
    <w:rsid w:val="008C616C"/>
    <w:rsid w:val="008C6D9A"/>
    <w:rsid w:val="008C7529"/>
    <w:rsid w:val="008C7860"/>
    <w:rsid w:val="008C7AFF"/>
    <w:rsid w:val="008D15C6"/>
    <w:rsid w:val="008D167E"/>
    <w:rsid w:val="008D1DD0"/>
    <w:rsid w:val="008D2320"/>
    <w:rsid w:val="008D237C"/>
    <w:rsid w:val="008D2999"/>
    <w:rsid w:val="008D2D4E"/>
    <w:rsid w:val="008D2DD3"/>
    <w:rsid w:val="008D38B5"/>
    <w:rsid w:val="008D3F71"/>
    <w:rsid w:val="008D3FB8"/>
    <w:rsid w:val="008D4280"/>
    <w:rsid w:val="008D4A01"/>
    <w:rsid w:val="008D4BB8"/>
    <w:rsid w:val="008D5E6A"/>
    <w:rsid w:val="008D6001"/>
    <w:rsid w:val="008D6141"/>
    <w:rsid w:val="008D6157"/>
    <w:rsid w:val="008D6715"/>
    <w:rsid w:val="008D68DE"/>
    <w:rsid w:val="008D6BB2"/>
    <w:rsid w:val="008D6D66"/>
    <w:rsid w:val="008D6EBC"/>
    <w:rsid w:val="008D6F23"/>
    <w:rsid w:val="008D7015"/>
    <w:rsid w:val="008D7089"/>
    <w:rsid w:val="008D7289"/>
    <w:rsid w:val="008D74D9"/>
    <w:rsid w:val="008D74F3"/>
    <w:rsid w:val="008D7D83"/>
    <w:rsid w:val="008E0531"/>
    <w:rsid w:val="008E0F9A"/>
    <w:rsid w:val="008E1719"/>
    <w:rsid w:val="008E2B03"/>
    <w:rsid w:val="008E354F"/>
    <w:rsid w:val="008E35A4"/>
    <w:rsid w:val="008E3BA9"/>
    <w:rsid w:val="008E3C19"/>
    <w:rsid w:val="008E41B6"/>
    <w:rsid w:val="008E4462"/>
    <w:rsid w:val="008E4DFF"/>
    <w:rsid w:val="008E50C2"/>
    <w:rsid w:val="008E56E4"/>
    <w:rsid w:val="008E58B3"/>
    <w:rsid w:val="008E5AF1"/>
    <w:rsid w:val="008E5E03"/>
    <w:rsid w:val="008E5F35"/>
    <w:rsid w:val="008E66F1"/>
    <w:rsid w:val="008E6818"/>
    <w:rsid w:val="008E6A06"/>
    <w:rsid w:val="008E6AC9"/>
    <w:rsid w:val="008E6D8C"/>
    <w:rsid w:val="008E6DC0"/>
    <w:rsid w:val="008E767B"/>
    <w:rsid w:val="008E7736"/>
    <w:rsid w:val="008E7956"/>
    <w:rsid w:val="008F0E26"/>
    <w:rsid w:val="008F0F9C"/>
    <w:rsid w:val="008F124C"/>
    <w:rsid w:val="008F1CEA"/>
    <w:rsid w:val="008F3610"/>
    <w:rsid w:val="008F3AFF"/>
    <w:rsid w:val="008F3E80"/>
    <w:rsid w:val="008F40D3"/>
    <w:rsid w:val="008F498D"/>
    <w:rsid w:val="008F4A18"/>
    <w:rsid w:val="008F4C72"/>
    <w:rsid w:val="008F5B4A"/>
    <w:rsid w:val="008F7167"/>
    <w:rsid w:val="008F73A8"/>
    <w:rsid w:val="008F7B8B"/>
    <w:rsid w:val="009006AB"/>
    <w:rsid w:val="00901544"/>
    <w:rsid w:val="009015D5"/>
    <w:rsid w:val="0090168C"/>
    <w:rsid w:val="00902371"/>
    <w:rsid w:val="00902F11"/>
    <w:rsid w:val="00903368"/>
    <w:rsid w:val="00903514"/>
    <w:rsid w:val="00903D58"/>
    <w:rsid w:val="00903FE3"/>
    <w:rsid w:val="009046C8"/>
    <w:rsid w:val="009049EC"/>
    <w:rsid w:val="00905A8B"/>
    <w:rsid w:val="00905DCF"/>
    <w:rsid w:val="00906664"/>
    <w:rsid w:val="009066F1"/>
    <w:rsid w:val="00906C6D"/>
    <w:rsid w:val="00906F9B"/>
    <w:rsid w:val="0090756A"/>
    <w:rsid w:val="0090789F"/>
    <w:rsid w:val="00907DB9"/>
    <w:rsid w:val="00907E65"/>
    <w:rsid w:val="00907E96"/>
    <w:rsid w:val="0091041B"/>
    <w:rsid w:val="0091064A"/>
    <w:rsid w:val="00910A50"/>
    <w:rsid w:val="00910C5B"/>
    <w:rsid w:val="00910D86"/>
    <w:rsid w:val="009116B0"/>
    <w:rsid w:val="00911AEE"/>
    <w:rsid w:val="00911FA9"/>
    <w:rsid w:val="00912AF5"/>
    <w:rsid w:val="009134B6"/>
    <w:rsid w:val="009135B3"/>
    <w:rsid w:val="00913D26"/>
    <w:rsid w:val="0091412C"/>
    <w:rsid w:val="0091427A"/>
    <w:rsid w:val="00914E75"/>
    <w:rsid w:val="00915449"/>
    <w:rsid w:val="009154B2"/>
    <w:rsid w:val="009164B8"/>
    <w:rsid w:val="009168FB"/>
    <w:rsid w:val="00916AC6"/>
    <w:rsid w:val="00916BAA"/>
    <w:rsid w:val="00916F9E"/>
    <w:rsid w:val="009171E9"/>
    <w:rsid w:val="00917C5A"/>
    <w:rsid w:val="0092016A"/>
    <w:rsid w:val="00920B8F"/>
    <w:rsid w:val="00920B97"/>
    <w:rsid w:val="00920F01"/>
    <w:rsid w:val="0092137A"/>
    <w:rsid w:val="00921BAE"/>
    <w:rsid w:val="00921E7B"/>
    <w:rsid w:val="009220C5"/>
    <w:rsid w:val="009227A9"/>
    <w:rsid w:val="00922CE9"/>
    <w:rsid w:val="009233F7"/>
    <w:rsid w:val="00923632"/>
    <w:rsid w:val="009259BC"/>
    <w:rsid w:val="009270E0"/>
    <w:rsid w:val="009279E0"/>
    <w:rsid w:val="00927C60"/>
    <w:rsid w:val="009305D8"/>
    <w:rsid w:val="0093061F"/>
    <w:rsid w:val="009308EB"/>
    <w:rsid w:val="009309F9"/>
    <w:rsid w:val="00930A15"/>
    <w:rsid w:val="00930CD3"/>
    <w:rsid w:val="009314FF"/>
    <w:rsid w:val="009317C1"/>
    <w:rsid w:val="00931C7C"/>
    <w:rsid w:val="009320BE"/>
    <w:rsid w:val="0093255E"/>
    <w:rsid w:val="00932A99"/>
    <w:rsid w:val="009332E0"/>
    <w:rsid w:val="0093358F"/>
    <w:rsid w:val="0093385C"/>
    <w:rsid w:val="00933A1B"/>
    <w:rsid w:val="00933DD1"/>
    <w:rsid w:val="0093432C"/>
    <w:rsid w:val="0093459B"/>
    <w:rsid w:val="00934846"/>
    <w:rsid w:val="0093550E"/>
    <w:rsid w:val="00935E77"/>
    <w:rsid w:val="00935ED1"/>
    <w:rsid w:val="00936A5A"/>
    <w:rsid w:val="00937311"/>
    <w:rsid w:val="0093771B"/>
    <w:rsid w:val="00940552"/>
    <w:rsid w:val="00940F51"/>
    <w:rsid w:val="009418AB"/>
    <w:rsid w:val="00941D19"/>
    <w:rsid w:val="00942AFE"/>
    <w:rsid w:val="0094313E"/>
    <w:rsid w:val="00944967"/>
    <w:rsid w:val="00944CA1"/>
    <w:rsid w:val="00944E5E"/>
    <w:rsid w:val="0094536E"/>
    <w:rsid w:val="00945687"/>
    <w:rsid w:val="00945A76"/>
    <w:rsid w:val="009463AB"/>
    <w:rsid w:val="00946959"/>
    <w:rsid w:val="00946E60"/>
    <w:rsid w:val="0094728E"/>
    <w:rsid w:val="009473AF"/>
    <w:rsid w:val="00947514"/>
    <w:rsid w:val="00947581"/>
    <w:rsid w:val="009476AA"/>
    <w:rsid w:val="00947C41"/>
    <w:rsid w:val="009500B8"/>
    <w:rsid w:val="00950770"/>
    <w:rsid w:val="00950CD5"/>
    <w:rsid w:val="00950E55"/>
    <w:rsid w:val="0095172B"/>
    <w:rsid w:val="00951B56"/>
    <w:rsid w:val="00951E3B"/>
    <w:rsid w:val="009521BD"/>
    <w:rsid w:val="00952212"/>
    <w:rsid w:val="009529F1"/>
    <w:rsid w:val="00952D6D"/>
    <w:rsid w:val="00952F0B"/>
    <w:rsid w:val="00952F56"/>
    <w:rsid w:val="0095309B"/>
    <w:rsid w:val="00953103"/>
    <w:rsid w:val="00953234"/>
    <w:rsid w:val="009534E2"/>
    <w:rsid w:val="00953C80"/>
    <w:rsid w:val="00954115"/>
    <w:rsid w:val="0095452C"/>
    <w:rsid w:val="00954731"/>
    <w:rsid w:val="00954D52"/>
    <w:rsid w:val="009556A6"/>
    <w:rsid w:val="00955A01"/>
    <w:rsid w:val="00956B21"/>
    <w:rsid w:val="00956DF6"/>
    <w:rsid w:val="00956EB3"/>
    <w:rsid w:val="00956FA1"/>
    <w:rsid w:val="0095720F"/>
    <w:rsid w:val="00957575"/>
    <w:rsid w:val="009576D2"/>
    <w:rsid w:val="0096019B"/>
    <w:rsid w:val="00960678"/>
    <w:rsid w:val="00960D96"/>
    <w:rsid w:val="00961430"/>
    <w:rsid w:val="00961435"/>
    <w:rsid w:val="00961CFF"/>
    <w:rsid w:val="00962099"/>
    <w:rsid w:val="009621B9"/>
    <w:rsid w:val="0096288F"/>
    <w:rsid w:val="00962ABA"/>
    <w:rsid w:val="0096336A"/>
    <w:rsid w:val="009637A3"/>
    <w:rsid w:val="00963C1A"/>
    <w:rsid w:val="00963C8B"/>
    <w:rsid w:val="009642CB"/>
    <w:rsid w:val="009646FD"/>
    <w:rsid w:val="00964EF7"/>
    <w:rsid w:val="0096512B"/>
    <w:rsid w:val="00965240"/>
    <w:rsid w:val="00965A1C"/>
    <w:rsid w:val="0096607D"/>
    <w:rsid w:val="00966095"/>
    <w:rsid w:val="00966256"/>
    <w:rsid w:val="009668F9"/>
    <w:rsid w:val="00966AD7"/>
    <w:rsid w:val="00967072"/>
    <w:rsid w:val="009670B3"/>
    <w:rsid w:val="00967BA5"/>
    <w:rsid w:val="009716EF"/>
    <w:rsid w:val="009719D8"/>
    <w:rsid w:val="00971E43"/>
    <w:rsid w:val="00972AD8"/>
    <w:rsid w:val="00972D1B"/>
    <w:rsid w:val="00973DE2"/>
    <w:rsid w:val="00974528"/>
    <w:rsid w:val="009748AF"/>
    <w:rsid w:val="00975437"/>
    <w:rsid w:val="00975B43"/>
    <w:rsid w:val="0097620A"/>
    <w:rsid w:val="009764A8"/>
    <w:rsid w:val="00976501"/>
    <w:rsid w:val="00976514"/>
    <w:rsid w:val="0097667D"/>
    <w:rsid w:val="00977235"/>
    <w:rsid w:val="009778E7"/>
    <w:rsid w:val="00977B45"/>
    <w:rsid w:val="009801B5"/>
    <w:rsid w:val="009801D2"/>
    <w:rsid w:val="009803AE"/>
    <w:rsid w:val="009804CA"/>
    <w:rsid w:val="00980F54"/>
    <w:rsid w:val="00981E91"/>
    <w:rsid w:val="00982227"/>
    <w:rsid w:val="009831F5"/>
    <w:rsid w:val="00983A70"/>
    <w:rsid w:val="00984338"/>
    <w:rsid w:val="00984AFC"/>
    <w:rsid w:val="00984D68"/>
    <w:rsid w:val="00985005"/>
    <w:rsid w:val="00985210"/>
    <w:rsid w:val="00985819"/>
    <w:rsid w:val="00985B20"/>
    <w:rsid w:val="00986583"/>
    <w:rsid w:val="0098681A"/>
    <w:rsid w:val="00986FE5"/>
    <w:rsid w:val="00987469"/>
    <w:rsid w:val="00987A3E"/>
    <w:rsid w:val="00987C1F"/>
    <w:rsid w:val="00987E57"/>
    <w:rsid w:val="0099119B"/>
    <w:rsid w:val="009912A1"/>
    <w:rsid w:val="00992ED3"/>
    <w:rsid w:val="00994183"/>
    <w:rsid w:val="00994279"/>
    <w:rsid w:val="009945CB"/>
    <w:rsid w:val="00994B9A"/>
    <w:rsid w:val="00994BED"/>
    <w:rsid w:val="00994D49"/>
    <w:rsid w:val="00994FD4"/>
    <w:rsid w:val="0099666E"/>
    <w:rsid w:val="00997674"/>
    <w:rsid w:val="009A013E"/>
    <w:rsid w:val="009A0693"/>
    <w:rsid w:val="009A1081"/>
    <w:rsid w:val="009A1773"/>
    <w:rsid w:val="009A1F45"/>
    <w:rsid w:val="009A2CC4"/>
    <w:rsid w:val="009A3DB9"/>
    <w:rsid w:val="009A3E22"/>
    <w:rsid w:val="009A4F1A"/>
    <w:rsid w:val="009A5DFD"/>
    <w:rsid w:val="009A608F"/>
    <w:rsid w:val="009A6731"/>
    <w:rsid w:val="009A691F"/>
    <w:rsid w:val="009A7205"/>
    <w:rsid w:val="009A7696"/>
    <w:rsid w:val="009A7742"/>
    <w:rsid w:val="009A776A"/>
    <w:rsid w:val="009A7BE1"/>
    <w:rsid w:val="009B0203"/>
    <w:rsid w:val="009B0308"/>
    <w:rsid w:val="009B09AC"/>
    <w:rsid w:val="009B0D7F"/>
    <w:rsid w:val="009B196C"/>
    <w:rsid w:val="009B1DDC"/>
    <w:rsid w:val="009B1E8D"/>
    <w:rsid w:val="009B1F2E"/>
    <w:rsid w:val="009B29E2"/>
    <w:rsid w:val="009B2E73"/>
    <w:rsid w:val="009B3387"/>
    <w:rsid w:val="009B366C"/>
    <w:rsid w:val="009B3D6E"/>
    <w:rsid w:val="009B4535"/>
    <w:rsid w:val="009B5320"/>
    <w:rsid w:val="009B61B0"/>
    <w:rsid w:val="009B65CF"/>
    <w:rsid w:val="009B7094"/>
    <w:rsid w:val="009B709C"/>
    <w:rsid w:val="009B7A32"/>
    <w:rsid w:val="009C138A"/>
    <w:rsid w:val="009C1651"/>
    <w:rsid w:val="009C1881"/>
    <w:rsid w:val="009C1E78"/>
    <w:rsid w:val="009C1EA4"/>
    <w:rsid w:val="009C2C0A"/>
    <w:rsid w:val="009C2DD9"/>
    <w:rsid w:val="009C4141"/>
    <w:rsid w:val="009C43B0"/>
    <w:rsid w:val="009C5C0D"/>
    <w:rsid w:val="009C5E0F"/>
    <w:rsid w:val="009C5E58"/>
    <w:rsid w:val="009C5F0D"/>
    <w:rsid w:val="009C6117"/>
    <w:rsid w:val="009C62CC"/>
    <w:rsid w:val="009C6691"/>
    <w:rsid w:val="009C671A"/>
    <w:rsid w:val="009C6892"/>
    <w:rsid w:val="009C6909"/>
    <w:rsid w:val="009C69E1"/>
    <w:rsid w:val="009C7330"/>
    <w:rsid w:val="009D0C13"/>
    <w:rsid w:val="009D1683"/>
    <w:rsid w:val="009D1C33"/>
    <w:rsid w:val="009D2022"/>
    <w:rsid w:val="009D24F4"/>
    <w:rsid w:val="009D2627"/>
    <w:rsid w:val="009D264F"/>
    <w:rsid w:val="009D27DD"/>
    <w:rsid w:val="009D2C9E"/>
    <w:rsid w:val="009D2DCB"/>
    <w:rsid w:val="009D4629"/>
    <w:rsid w:val="009D4B43"/>
    <w:rsid w:val="009D4E02"/>
    <w:rsid w:val="009D5764"/>
    <w:rsid w:val="009D59AB"/>
    <w:rsid w:val="009D5A38"/>
    <w:rsid w:val="009D5AB6"/>
    <w:rsid w:val="009D5C15"/>
    <w:rsid w:val="009D5D4C"/>
    <w:rsid w:val="009D5DAB"/>
    <w:rsid w:val="009D6AD9"/>
    <w:rsid w:val="009D6F30"/>
    <w:rsid w:val="009D7E96"/>
    <w:rsid w:val="009E00C9"/>
    <w:rsid w:val="009E0D5C"/>
    <w:rsid w:val="009E11DD"/>
    <w:rsid w:val="009E1998"/>
    <w:rsid w:val="009E2CCC"/>
    <w:rsid w:val="009E3223"/>
    <w:rsid w:val="009E34FA"/>
    <w:rsid w:val="009E3E2C"/>
    <w:rsid w:val="009E4125"/>
    <w:rsid w:val="009E4726"/>
    <w:rsid w:val="009E4BF0"/>
    <w:rsid w:val="009E4FA3"/>
    <w:rsid w:val="009E5797"/>
    <w:rsid w:val="009E5969"/>
    <w:rsid w:val="009E5A4D"/>
    <w:rsid w:val="009E60BD"/>
    <w:rsid w:val="009E6615"/>
    <w:rsid w:val="009E7663"/>
    <w:rsid w:val="009E7A8E"/>
    <w:rsid w:val="009F0496"/>
    <w:rsid w:val="009F0860"/>
    <w:rsid w:val="009F1764"/>
    <w:rsid w:val="009F2233"/>
    <w:rsid w:val="009F2792"/>
    <w:rsid w:val="009F30C1"/>
    <w:rsid w:val="009F3225"/>
    <w:rsid w:val="009F3420"/>
    <w:rsid w:val="009F46DE"/>
    <w:rsid w:val="009F523A"/>
    <w:rsid w:val="009F602C"/>
    <w:rsid w:val="009F61C2"/>
    <w:rsid w:val="009F681D"/>
    <w:rsid w:val="009F76CC"/>
    <w:rsid w:val="009F77EA"/>
    <w:rsid w:val="009F7A31"/>
    <w:rsid w:val="00A001DA"/>
    <w:rsid w:val="00A00208"/>
    <w:rsid w:val="00A0054E"/>
    <w:rsid w:val="00A00E3B"/>
    <w:rsid w:val="00A01085"/>
    <w:rsid w:val="00A01390"/>
    <w:rsid w:val="00A013AD"/>
    <w:rsid w:val="00A0161D"/>
    <w:rsid w:val="00A01FAD"/>
    <w:rsid w:val="00A02461"/>
    <w:rsid w:val="00A02568"/>
    <w:rsid w:val="00A0266B"/>
    <w:rsid w:val="00A02761"/>
    <w:rsid w:val="00A02AD7"/>
    <w:rsid w:val="00A0302A"/>
    <w:rsid w:val="00A03E37"/>
    <w:rsid w:val="00A04095"/>
    <w:rsid w:val="00A046A2"/>
    <w:rsid w:val="00A0478B"/>
    <w:rsid w:val="00A04D62"/>
    <w:rsid w:val="00A04ECB"/>
    <w:rsid w:val="00A04F8F"/>
    <w:rsid w:val="00A05031"/>
    <w:rsid w:val="00A052A2"/>
    <w:rsid w:val="00A055E9"/>
    <w:rsid w:val="00A06539"/>
    <w:rsid w:val="00A06870"/>
    <w:rsid w:val="00A072FB"/>
    <w:rsid w:val="00A07463"/>
    <w:rsid w:val="00A0777E"/>
    <w:rsid w:val="00A07792"/>
    <w:rsid w:val="00A07BE1"/>
    <w:rsid w:val="00A07C36"/>
    <w:rsid w:val="00A07F72"/>
    <w:rsid w:val="00A10162"/>
    <w:rsid w:val="00A107CB"/>
    <w:rsid w:val="00A10F8A"/>
    <w:rsid w:val="00A11426"/>
    <w:rsid w:val="00A122E2"/>
    <w:rsid w:val="00A125B4"/>
    <w:rsid w:val="00A128B1"/>
    <w:rsid w:val="00A13A82"/>
    <w:rsid w:val="00A13BE9"/>
    <w:rsid w:val="00A14222"/>
    <w:rsid w:val="00A143D0"/>
    <w:rsid w:val="00A145EF"/>
    <w:rsid w:val="00A146D8"/>
    <w:rsid w:val="00A1521F"/>
    <w:rsid w:val="00A15387"/>
    <w:rsid w:val="00A157AD"/>
    <w:rsid w:val="00A16320"/>
    <w:rsid w:val="00A16AFE"/>
    <w:rsid w:val="00A16D79"/>
    <w:rsid w:val="00A2010A"/>
    <w:rsid w:val="00A2105A"/>
    <w:rsid w:val="00A21110"/>
    <w:rsid w:val="00A212CD"/>
    <w:rsid w:val="00A215D4"/>
    <w:rsid w:val="00A216C4"/>
    <w:rsid w:val="00A21782"/>
    <w:rsid w:val="00A22808"/>
    <w:rsid w:val="00A22DC7"/>
    <w:rsid w:val="00A23ABC"/>
    <w:rsid w:val="00A243F9"/>
    <w:rsid w:val="00A24570"/>
    <w:rsid w:val="00A25128"/>
    <w:rsid w:val="00A25863"/>
    <w:rsid w:val="00A25BC3"/>
    <w:rsid w:val="00A25BF9"/>
    <w:rsid w:val="00A26459"/>
    <w:rsid w:val="00A2694C"/>
    <w:rsid w:val="00A26EC6"/>
    <w:rsid w:val="00A27496"/>
    <w:rsid w:val="00A301F2"/>
    <w:rsid w:val="00A313B7"/>
    <w:rsid w:val="00A32306"/>
    <w:rsid w:val="00A32F57"/>
    <w:rsid w:val="00A34973"/>
    <w:rsid w:val="00A34A1C"/>
    <w:rsid w:val="00A35143"/>
    <w:rsid w:val="00A35944"/>
    <w:rsid w:val="00A35E81"/>
    <w:rsid w:val="00A37062"/>
    <w:rsid w:val="00A37377"/>
    <w:rsid w:val="00A37666"/>
    <w:rsid w:val="00A37B03"/>
    <w:rsid w:val="00A404C2"/>
    <w:rsid w:val="00A40F04"/>
    <w:rsid w:val="00A4106E"/>
    <w:rsid w:val="00A41291"/>
    <w:rsid w:val="00A41B52"/>
    <w:rsid w:val="00A422A3"/>
    <w:rsid w:val="00A42DEF"/>
    <w:rsid w:val="00A43209"/>
    <w:rsid w:val="00A437CC"/>
    <w:rsid w:val="00A43C89"/>
    <w:rsid w:val="00A44538"/>
    <w:rsid w:val="00A445BE"/>
    <w:rsid w:val="00A452D7"/>
    <w:rsid w:val="00A45309"/>
    <w:rsid w:val="00A45790"/>
    <w:rsid w:val="00A46191"/>
    <w:rsid w:val="00A46615"/>
    <w:rsid w:val="00A470D8"/>
    <w:rsid w:val="00A478EA"/>
    <w:rsid w:val="00A478F3"/>
    <w:rsid w:val="00A47AB1"/>
    <w:rsid w:val="00A47ABA"/>
    <w:rsid w:val="00A47EEC"/>
    <w:rsid w:val="00A500C2"/>
    <w:rsid w:val="00A5056B"/>
    <w:rsid w:val="00A5183D"/>
    <w:rsid w:val="00A520B0"/>
    <w:rsid w:val="00A528D0"/>
    <w:rsid w:val="00A52D5B"/>
    <w:rsid w:val="00A545E4"/>
    <w:rsid w:val="00A5501E"/>
    <w:rsid w:val="00A55C77"/>
    <w:rsid w:val="00A56050"/>
    <w:rsid w:val="00A56454"/>
    <w:rsid w:val="00A564F4"/>
    <w:rsid w:val="00A56C03"/>
    <w:rsid w:val="00A56EC7"/>
    <w:rsid w:val="00A57F1B"/>
    <w:rsid w:val="00A6018B"/>
    <w:rsid w:val="00A60AD5"/>
    <w:rsid w:val="00A60B0C"/>
    <w:rsid w:val="00A61206"/>
    <w:rsid w:val="00A6156D"/>
    <w:rsid w:val="00A6217F"/>
    <w:rsid w:val="00A621A9"/>
    <w:rsid w:val="00A62328"/>
    <w:rsid w:val="00A62479"/>
    <w:rsid w:val="00A626DF"/>
    <w:rsid w:val="00A62EC3"/>
    <w:rsid w:val="00A62F44"/>
    <w:rsid w:val="00A646F1"/>
    <w:rsid w:val="00A64A4E"/>
    <w:rsid w:val="00A64D27"/>
    <w:rsid w:val="00A6503A"/>
    <w:rsid w:val="00A65351"/>
    <w:rsid w:val="00A65725"/>
    <w:rsid w:val="00A65808"/>
    <w:rsid w:val="00A66014"/>
    <w:rsid w:val="00A66B5F"/>
    <w:rsid w:val="00A7002A"/>
    <w:rsid w:val="00A704AB"/>
    <w:rsid w:val="00A70ACC"/>
    <w:rsid w:val="00A70BCF"/>
    <w:rsid w:val="00A71205"/>
    <w:rsid w:val="00A71463"/>
    <w:rsid w:val="00A7292D"/>
    <w:rsid w:val="00A72DD4"/>
    <w:rsid w:val="00A73F54"/>
    <w:rsid w:val="00A747A3"/>
    <w:rsid w:val="00A74C33"/>
    <w:rsid w:val="00A74F08"/>
    <w:rsid w:val="00A7542A"/>
    <w:rsid w:val="00A759B4"/>
    <w:rsid w:val="00A75AB2"/>
    <w:rsid w:val="00A762C1"/>
    <w:rsid w:val="00A76351"/>
    <w:rsid w:val="00A778E3"/>
    <w:rsid w:val="00A77BA8"/>
    <w:rsid w:val="00A77CEA"/>
    <w:rsid w:val="00A805DD"/>
    <w:rsid w:val="00A83167"/>
    <w:rsid w:val="00A83B8B"/>
    <w:rsid w:val="00A83D25"/>
    <w:rsid w:val="00A83FF6"/>
    <w:rsid w:val="00A84020"/>
    <w:rsid w:val="00A840D4"/>
    <w:rsid w:val="00A841CD"/>
    <w:rsid w:val="00A848AD"/>
    <w:rsid w:val="00A8516B"/>
    <w:rsid w:val="00A85597"/>
    <w:rsid w:val="00A85A2F"/>
    <w:rsid w:val="00A860C5"/>
    <w:rsid w:val="00A866BA"/>
    <w:rsid w:val="00A8677D"/>
    <w:rsid w:val="00A87056"/>
    <w:rsid w:val="00A873FA"/>
    <w:rsid w:val="00A8750B"/>
    <w:rsid w:val="00A8751F"/>
    <w:rsid w:val="00A87565"/>
    <w:rsid w:val="00A87E21"/>
    <w:rsid w:val="00A87EC7"/>
    <w:rsid w:val="00A90190"/>
    <w:rsid w:val="00A90726"/>
    <w:rsid w:val="00A90829"/>
    <w:rsid w:val="00A90BDA"/>
    <w:rsid w:val="00A90EC1"/>
    <w:rsid w:val="00A9120D"/>
    <w:rsid w:val="00A913F2"/>
    <w:rsid w:val="00A91450"/>
    <w:rsid w:val="00A914ED"/>
    <w:rsid w:val="00A91C52"/>
    <w:rsid w:val="00A91F32"/>
    <w:rsid w:val="00A92856"/>
    <w:rsid w:val="00A93274"/>
    <w:rsid w:val="00A934E7"/>
    <w:rsid w:val="00A9428B"/>
    <w:rsid w:val="00A94299"/>
    <w:rsid w:val="00A942F1"/>
    <w:rsid w:val="00A94814"/>
    <w:rsid w:val="00A94D5E"/>
    <w:rsid w:val="00A96FD9"/>
    <w:rsid w:val="00A970EF"/>
    <w:rsid w:val="00A97343"/>
    <w:rsid w:val="00A97763"/>
    <w:rsid w:val="00AA01FF"/>
    <w:rsid w:val="00AA0CE8"/>
    <w:rsid w:val="00AA1682"/>
    <w:rsid w:val="00AA186F"/>
    <w:rsid w:val="00AA1994"/>
    <w:rsid w:val="00AA1E7D"/>
    <w:rsid w:val="00AA20FE"/>
    <w:rsid w:val="00AA28F3"/>
    <w:rsid w:val="00AA490F"/>
    <w:rsid w:val="00AA4974"/>
    <w:rsid w:val="00AA4B8F"/>
    <w:rsid w:val="00AA4C81"/>
    <w:rsid w:val="00AA4D06"/>
    <w:rsid w:val="00AA5364"/>
    <w:rsid w:val="00AA56A3"/>
    <w:rsid w:val="00AA5BE6"/>
    <w:rsid w:val="00AA5E97"/>
    <w:rsid w:val="00AA5F60"/>
    <w:rsid w:val="00AA5FEC"/>
    <w:rsid w:val="00AA63EC"/>
    <w:rsid w:val="00AA64D3"/>
    <w:rsid w:val="00AA690D"/>
    <w:rsid w:val="00AA71EF"/>
    <w:rsid w:val="00AA74E9"/>
    <w:rsid w:val="00AA753B"/>
    <w:rsid w:val="00AA7F19"/>
    <w:rsid w:val="00AB125A"/>
    <w:rsid w:val="00AB14F6"/>
    <w:rsid w:val="00AB152F"/>
    <w:rsid w:val="00AB1803"/>
    <w:rsid w:val="00AB210B"/>
    <w:rsid w:val="00AB28E2"/>
    <w:rsid w:val="00AB28F3"/>
    <w:rsid w:val="00AB2ECA"/>
    <w:rsid w:val="00AB35E5"/>
    <w:rsid w:val="00AB4340"/>
    <w:rsid w:val="00AB5147"/>
    <w:rsid w:val="00AB5D41"/>
    <w:rsid w:val="00AB5E30"/>
    <w:rsid w:val="00AB64B4"/>
    <w:rsid w:val="00AB6B3A"/>
    <w:rsid w:val="00AB76ED"/>
    <w:rsid w:val="00AB77C9"/>
    <w:rsid w:val="00AB7E81"/>
    <w:rsid w:val="00AC01E2"/>
    <w:rsid w:val="00AC0437"/>
    <w:rsid w:val="00AC0A2E"/>
    <w:rsid w:val="00AC1106"/>
    <w:rsid w:val="00AC13D8"/>
    <w:rsid w:val="00AC1612"/>
    <w:rsid w:val="00AC164A"/>
    <w:rsid w:val="00AC1C80"/>
    <w:rsid w:val="00AC222E"/>
    <w:rsid w:val="00AC25CD"/>
    <w:rsid w:val="00AC3DC4"/>
    <w:rsid w:val="00AC4BA1"/>
    <w:rsid w:val="00AC53EA"/>
    <w:rsid w:val="00AC5496"/>
    <w:rsid w:val="00AC5992"/>
    <w:rsid w:val="00AC7157"/>
    <w:rsid w:val="00AC7612"/>
    <w:rsid w:val="00AC7A44"/>
    <w:rsid w:val="00AC7B8F"/>
    <w:rsid w:val="00AD0E5E"/>
    <w:rsid w:val="00AD0ED0"/>
    <w:rsid w:val="00AD16D7"/>
    <w:rsid w:val="00AD177D"/>
    <w:rsid w:val="00AD18F1"/>
    <w:rsid w:val="00AD2132"/>
    <w:rsid w:val="00AD2955"/>
    <w:rsid w:val="00AD2A82"/>
    <w:rsid w:val="00AD2B51"/>
    <w:rsid w:val="00AD3443"/>
    <w:rsid w:val="00AD39CA"/>
    <w:rsid w:val="00AD3B5F"/>
    <w:rsid w:val="00AD408A"/>
    <w:rsid w:val="00AD552D"/>
    <w:rsid w:val="00AD5EEB"/>
    <w:rsid w:val="00AD6C58"/>
    <w:rsid w:val="00AD6F55"/>
    <w:rsid w:val="00AD6FF1"/>
    <w:rsid w:val="00AD7C54"/>
    <w:rsid w:val="00AD7FEC"/>
    <w:rsid w:val="00AE0306"/>
    <w:rsid w:val="00AE07AA"/>
    <w:rsid w:val="00AE0C0E"/>
    <w:rsid w:val="00AE103B"/>
    <w:rsid w:val="00AE18C2"/>
    <w:rsid w:val="00AE195C"/>
    <w:rsid w:val="00AE24A6"/>
    <w:rsid w:val="00AE2744"/>
    <w:rsid w:val="00AE2934"/>
    <w:rsid w:val="00AE2EEF"/>
    <w:rsid w:val="00AE38F0"/>
    <w:rsid w:val="00AE392C"/>
    <w:rsid w:val="00AE4096"/>
    <w:rsid w:val="00AE458B"/>
    <w:rsid w:val="00AE475A"/>
    <w:rsid w:val="00AE4837"/>
    <w:rsid w:val="00AE5648"/>
    <w:rsid w:val="00AE642F"/>
    <w:rsid w:val="00AE6EE7"/>
    <w:rsid w:val="00AE7748"/>
    <w:rsid w:val="00AE7C02"/>
    <w:rsid w:val="00AF01C6"/>
    <w:rsid w:val="00AF041F"/>
    <w:rsid w:val="00AF0A2C"/>
    <w:rsid w:val="00AF0A3E"/>
    <w:rsid w:val="00AF0FF4"/>
    <w:rsid w:val="00AF1204"/>
    <w:rsid w:val="00AF13A1"/>
    <w:rsid w:val="00AF163B"/>
    <w:rsid w:val="00AF35BD"/>
    <w:rsid w:val="00AF46DC"/>
    <w:rsid w:val="00AF5561"/>
    <w:rsid w:val="00AF5ABD"/>
    <w:rsid w:val="00AF6353"/>
    <w:rsid w:val="00AF64B4"/>
    <w:rsid w:val="00AF6742"/>
    <w:rsid w:val="00AF6B41"/>
    <w:rsid w:val="00AF6B44"/>
    <w:rsid w:val="00AF701F"/>
    <w:rsid w:val="00AF7693"/>
    <w:rsid w:val="00AF771E"/>
    <w:rsid w:val="00AF790A"/>
    <w:rsid w:val="00AF79E9"/>
    <w:rsid w:val="00AF7D6C"/>
    <w:rsid w:val="00B00A12"/>
    <w:rsid w:val="00B00E4E"/>
    <w:rsid w:val="00B011F1"/>
    <w:rsid w:val="00B013CC"/>
    <w:rsid w:val="00B01404"/>
    <w:rsid w:val="00B0140E"/>
    <w:rsid w:val="00B017FB"/>
    <w:rsid w:val="00B01F22"/>
    <w:rsid w:val="00B02215"/>
    <w:rsid w:val="00B02D5A"/>
    <w:rsid w:val="00B0352B"/>
    <w:rsid w:val="00B039ED"/>
    <w:rsid w:val="00B03D13"/>
    <w:rsid w:val="00B041ED"/>
    <w:rsid w:val="00B043AC"/>
    <w:rsid w:val="00B05129"/>
    <w:rsid w:val="00B05170"/>
    <w:rsid w:val="00B051A5"/>
    <w:rsid w:val="00B05375"/>
    <w:rsid w:val="00B05403"/>
    <w:rsid w:val="00B05C22"/>
    <w:rsid w:val="00B05F0E"/>
    <w:rsid w:val="00B06A34"/>
    <w:rsid w:val="00B07112"/>
    <w:rsid w:val="00B07333"/>
    <w:rsid w:val="00B07AF2"/>
    <w:rsid w:val="00B1048C"/>
    <w:rsid w:val="00B1073D"/>
    <w:rsid w:val="00B10A16"/>
    <w:rsid w:val="00B10CFD"/>
    <w:rsid w:val="00B110D6"/>
    <w:rsid w:val="00B1144C"/>
    <w:rsid w:val="00B115F4"/>
    <w:rsid w:val="00B117E0"/>
    <w:rsid w:val="00B11C43"/>
    <w:rsid w:val="00B11C4C"/>
    <w:rsid w:val="00B11E53"/>
    <w:rsid w:val="00B11F1F"/>
    <w:rsid w:val="00B123ED"/>
    <w:rsid w:val="00B12A32"/>
    <w:rsid w:val="00B12BA6"/>
    <w:rsid w:val="00B13464"/>
    <w:rsid w:val="00B1399F"/>
    <w:rsid w:val="00B13B71"/>
    <w:rsid w:val="00B14913"/>
    <w:rsid w:val="00B150F4"/>
    <w:rsid w:val="00B151C4"/>
    <w:rsid w:val="00B16375"/>
    <w:rsid w:val="00B167C9"/>
    <w:rsid w:val="00B178EE"/>
    <w:rsid w:val="00B17B53"/>
    <w:rsid w:val="00B20604"/>
    <w:rsid w:val="00B210EC"/>
    <w:rsid w:val="00B2140C"/>
    <w:rsid w:val="00B21F2F"/>
    <w:rsid w:val="00B2223E"/>
    <w:rsid w:val="00B244BC"/>
    <w:rsid w:val="00B2477F"/>
    <w:rsid w:val="00B24B45"/>
    <w:rsid w:val="00B24F56"/>
    <w:rsid w:val="00B250A0"/>
    <w:rsid w:val="00B2519B"/>
    <w:rsid w:val="00B25732"/>
    <w:rsid w:val="00B25A5A"/>
    <w:rsid w:val="00B26DDD"/>
    <w:rsid w:val="00B2724F"/>
    <w:rsid w:val="00B27331"/>
    <w:rsid w:val="00B275D2"/>
    <w:rsid w:val="00B279F8"/>
    <w:rsid w:val="00B3031A"/>
    <w:rsid w:val="00B304F5"/>
    <w:rsid w:val="00B30A1A"/>
    <w:rsid w:val="00B31712"/>
    <w:rsid w:val="00B31B3D"/>
    <w:rsid w:val="00B32A8F"/>
    <w:rsid w:val="00B32FE6"/>
    <w:rsid w:val="00B337A8"/>
    <w:rsid w:val="00B339CC"/>
    <w:rsid w:val="00B3453B"/>
    <w:rsid w:val="00B34C50"/>
    <w:rsid w:val="00B34EF6"/>
    <w:rsid w:val="00B3620D"/>
    <w:rsid w:val="00B363A1"/>
    <w:rsid w:val="00B363C5"/>
    <w:rsid w:val="00B3693A"/>
    <w:rsid w:val="00B36C5E"/>
    <w:rsid w:val="00B36F10"/>
    <w:rsid w:val="00B37457"/>
    <w:rsid w:val="00B37C38"/>
    <w:rsid w:val="00B37E5F"/>
    <w:rsid w:val="00B37FA1"/>
    <w:rsid w:val="00B40054"/>
    <w:rsid w:val="00B400E7"/>
    <w:rsid w:val="00B40EB7"/>
    <w:rsid w:val="00B4121D"/>
    <w:rsid w:val="00B41719"/>
    <w:rsid w:val="00B417A6"/>
    <w:rsid w:val="00B41C32"/>
    <w:rsid w:val="00B420C2"/>
    <w:rsid w:val="00B424AD"/>
    <w:rsid w:val="00B424D4"/>
    <w:rsid w:val="00B425FC"/>
    <w:rsid w:val="00B42C17"/>
    <w:rsid w:val="00B43C7D"/>
    <w:rsid w:val="00B44273"/>
    <w:rsid w:val="00B448D2"/>
    <w:rsid w:val="00B44B53"/>
    <w:rsid w:val="00B45228"/>
    <w:rsid w:val="00B459DD"/>
    <w:rsid w:val="00B4647E"/>
    <w:rsid w:val="00B474B8"/>
    <w:rsid w:val="00B475CB"/>
    <w:rsid w:val="00B475F6"/>
    <w:rsid w:val="00B4792B"/>
    <w:rsid w:val="00B47F30"/>
    <w:rsid w:val="00B50044"/>
    <w:rsid w:val="00B500DE"/>
    <w:rsid w:val="00B50AD6"/>
    <w:rsid w:val="00B50CC4"/>
    <w:rsid w:val="00B50D34"/>
    <w:rsid w:val="00B50FD9"/>
    <w:rsid w:val="00B51569"/>
    <w:rsid w:val="00B52115"/>
    <w:rsid w:val="00B5243E"/>
    <w:rsid w:val="00B530CB"/>
    <w:rsid w:val="00B530FA"/>
    <w:rsid w:val="00B53262"/>
    <w:rsid w:val="00B53692"/>
    <w:rsid w:val="00B54CC4"/>
    <w:rsid w:val="00B55063"/>
    <w:rsid w:val="00B554CF"/>
    <w:rsid w:val="00B55668"/>
    <w:rsid w:val="00B55E84"/>
    <w:rsid w:val="00B5626B"/>
    <w:rsid w:val="00B56E35"/>
    <w:rsid w:val="00B6005C"/>
    <w:rsid w:val="00B602BD"/>
    <w:rsid w:val="00B6092B"/>
    <w:rsid w:val="00B60CE5"/>
    <w:rsid w:val="00B60F02"/>
    <w:rsid w:val="00B6102D"/>
    <w:rsid w:val="00B610AF"/>
    <w:rsid w:val="00B62206"/>
    <w:rsid w:val="00B6294D"/>
    <w:rsid w:val="00B62A9E"/>
    <w:rsid w:val="00B62FCA"/>
    <w:rsid w:val="00B63475"/>
    <w:rsid w:val="00B63EC0"/>
    <w:rsid w:val="00B63F94"/>
    <w:rsid w:val="00B640F0"/>
    <w:rsid w:val="00B64214"/>
    <w:rsid w:val="00B6449C"/>
    <w:rsid w:val="00B64790"/>
    <w:rsid w:val="00B64C9E"/>
    <w:rsid w:val="00B65727"/>
    <w:rsid w:val="00B65A7D"/>
    <w:rsid w:val="00B6608D"/>
    <w:rsid w:val="00B664BB"/>
    <w:rsid w:val="00B669BC"/>
    <w:rsid w:val="00B67AD7"/>
    <w:rsid w:val="00B70705"/>
    <w:rsid w:val="00B70756"/>
    <w:rsid w:val="00B715D3"/>
    <w:rsid w:val="00B7228F"/>
    <w:rsid w:val="00B72766"/>
    <w:rsid w:val="00B73B8C"/>
    <w:rsid w:val="00B74322"/>
    <w:rsid w:val="00B7442E"/>
    <w:rsid w:val="00B74909"/>
    <w:rsid w:val="00B74940"/>
    <w:rsid w:val="00B760BF"/>
    <w:rsid w:val="00B770E4"/>
    <w:rsid w:val="00B80F67"/>
    <w:rsid w:val="00B819A4"/>
    <w:rsid w:val="00B81A97"/>
    <w:rsid w:val="00B81BD3"/>
    <w:rsid w:val="00B822DB"/>
    <w:rsid w:val="00B82423"/>
    <w:rsid w:val="00B83201"/>
    <w:rsid w:val="00B83C8B"/>
    <w:rsid w:val="00B83F85"/>
    <w:rsid w:val="00B83FF9"/>
    <w:rsid w:val="00B84043"/>
    <w:rsid w:val="00B8464B"/>
    <w:rsid w:val="00B849C6"/>
    <w:rsid w:val="00B850E3"/>
    <w:rsid w:val="00B85ABA"/>
    <w:rsid w:val="00B85F3A"/>
    <w:rsid w:val="00B867E9"/>
    <w:rsid w:val="00B86A3D"/>
    <w:rsid w:val="00B86A4B"/>
    <w:rsid w:val="00B86ED9"/>
    <w:rsid w:val="00B87135"/>
    <w:rsid w:val="00B878F0"/>
    <w:rsid w:val="00B87FC5"/>
    <w:rsid w:val="00B909CD"/>
    <w:rsid w:val="00B90C17"/>
    <w:rsid w:val="00B91A81"/>
    <w:rsid w:val="00B91FB6"/>
    <w:rsid w:val="00B92C97"/>
    <w:rsid w:val="00B93194"/>
    <w:rsid w:val="00B9482F"/>
    <w:rsid w:val="00B94A26"/>
    <w:rsid w:val="00B94F66"/>
    <w:rsid w:val="00B96122"/>
    <w:rsid w:val="00B961EC"/>
    <w:rsid w:val="00B96985"/>
    <w:rsid w:val="00B96FF1"/>
    <w:rsid w:val="00B97A6F"/>
    <w:rsid w:val="00B97FAC"/>
    <w:rsid w:val="00BA03C3"/>
    <w:rsid w:val="00BA0425"/>
    <w:rsid w:val="00BA0652"/>
    <w:rsid w:val="00BA0706"/>
    <w:rsid w:val="00BA072B"/>
    <w:rsid w:val="00BA0833"/>
    <w:rsid w:val="00BA0BE4"/>
    <w:rsid w:val="00BA0CF8"/>
    <w:rsid w:val="00BA1329"/>
    <w:rsid w:val="00BA1B5C"/>
    <w:rsid w:val="00BA1C8A"/>
    <w:rsid w:val="00BA1D7C"/>
    <w:rsid w:val="00BA1DA3"/>
    <w:rsid w:val="00BA2D62"/>
    <w:rsid w:val="00BA2D8E"/>
    <w:rsid w:val="00BA2F11"/>
    <w:rsid w:val="00BA3116"/>
    <w:rsid w:val="00BA359F"/>
    <w:rsid w:val="00BA44BD"/>
    <w:rsid w:val="00BA44E8"/>
    <w:rsid w:val="00BA47E5"/>
    <w:rsid w:val="00BA5792"/>
    <w:rsid w:val="00BA5EBB"/>
    <w:rsid w:val="00BA625B"/>
    <w:rsid w:val="00BA6EBC"/>
    <w:rsid w:val="00BA758D"/>
    <w:rsid w:val="00BA7A45"/>
    <w:rsid w:val="00BB0148"/>
    <w:rsid w:val="00BB0C29"/>
    <w:rsid w:val="00BB11D8"/>
    <w:rsid w:val="00BB1583"/>
    <w:rsid w:val="00BB2464"/>
    <w:rsid w:val="00BB2729"/>
    <w:rsid w:val="00BB2C1B"/>
    <w:rsid w:val="00BB2D9C"/>
    <w:rsid w:val="00BB3420"/>
    <w:rsid w:val="00BB4C4B"/>
    <w:rsid w:val="00BB57CA"/>
    <w:rsid w:val="00BB59C7"/>
    <w:rsid w:val="00BB5D68"/>
    <w:rsid w:val="00BB69B0"/>
    <w:rsid w:val="00BB6C43"/>
    <w:rsid w:val="00BB6DAF"/>
    <w:rsid w:val="00BB7AB5"/>
    <w:rsid w:val="00BC025F"/>
    <w:rsid w:val="00BC110D"/>
    <w:rsid w:val="00BC1F8A"/>
    <w:rsid w:val="00BC316F"/>
    <w:rsid w:val="00BC35A8"/>
    <w:rsid w:val="00BC3C6F"/>
    <w:rsid w:val="00BC5422"/>
    <w:rsid w:val="00BC5CBA"/>
    <w:rsid w:val="00BC5CE9"/>
    <w:rsid w:val="00BC5DBF"/>
    <w:rsid w:val="00BC62F2"/>
    <w:rsid w:val="00BC68D6"/>
    <w:rsid w:val="00BC6F1B"/>
    <w:rsid w:val="00BC6FFA"/>
    <w:rsid w:val="00BC72AC"/>
    <w:rsid w:val="00BC7532"/>
    <w:rsid w:val="00BD0C17"/>
    <w:rsid w:val="00BD1B55"/>
    <w:rsid w:val="00BD1C3A"/>
    <w:rsid w:val="00BD2211"/>
    <w:rsid w:val="00BD2B2C"/>
    <w:rsid w:val="00BD39E0"/>
    <w:rsid w:val="00BD3F8D"/>
    <w:rsid w:val="00BD565F"/>
    <w:rsid w:val="00BD58ED"/>
    <w:rsid w:val="00BD60A7"/>
    <w:rsid w:val="00BD69CC"/>
    <w:rsid w:val="00BD707D"/>
    <w:rsid w:val="00BD7408"/>
    <w:rsid w:val="00BE0111"/>
    <w:rsid w:val="00BE0262"/>
    <w:rsid w:val="00BE10B3"/>
    <w:rsid w:val="00BE140D"/>
    <w:rsid w:val="00BE1590"/>
    <w:rsid w:val="00BE16A3"/>
    <w:rsid w:val="00BE1EBF"/>
    <w:rsid w:val="00BE1FA1"/>
    <w:rsid w:val="00BE2144"/>
    <w:rsid w:val="00BE25A0"/>
    <w:rsid w:val="00BE37FA"/>
    <w:rsid w:val="00BE415A"/>
    <w:rsid w:val="00BE433A"/>
    <w:rsid w:val="00BE4AAD"/>
    <w:rsid w:val="00BE4C66"/>
    <w:rsid w:val="00BE4CFB"/>
    <w:rsid w:val="00BE4DE7"/>
    <w:rsid w:val="00BE5209"/>
    <w:rsid w:val="00BE5285"/>
    <w:rsid w:val="00BE59DF"/>
    <w:rsid w:val="00BE5CBC"/>
    <w:rsid w:val="00BE5FD7"/>
    <w:rsid w:val="00BE6311"/>
    <w:rsid w:val="00BE6392"/>
    <w:rsid w:val="00BF13C0"/>
    <w:rsid w:val="00BF1BA0"/>
    <w:rsid w:val="00BF27D2"/>
    <w:rsid w:val="00BF2F79"/>
    <w:rsid w:val="00BF3471"/>
    <w:rsid w:val="00BF3A80"/>
    <w:rsid w:val="00BF3B4D"/>
    <w:rsid w:val="00BF402F"/>
    <w:rsid w:val="00BF4092"/>
    <w:rsid w:val="00BF420F"/>
    <w:rsid w:val="00BF4FA2"/>
    <w:rsid w:val="00BF51A8"/>
    <w:rsid w:val="00BF5CDD"/>
    <w:rsid w:val="00BF60FA"/>
    <w:rsid w:val="00BF6652"/>
    <w:rsid w:val="00BF6F58"/>
    <w:rsid w:val="00BF71D0"/>
    <w:rsid w:val="00BF7C53"/>
    <w:rsid w:val="00BF7F75"/>
    <w:rsid w:val="00C00102"/>
    <w:rsid w:val="00C002AC"/>
    <w:rsid w:val="00C00501"/>
    <w:rsid w:val="00C0115F"/>
    <w:rsid w:val="00C01998"/>
    <w:rsid w:val="00C019C2"/>
    <w:rsid w:val="00C01DD1"/>
    <w:rsid w:val="00C02158"/>
    <w:rsid w:val="00C02A40"/>
    <w:rsid w:val="00C02C9E"/>
    <w:rsid w:val="00C02D68"/>
    <w:rsid w:val="00C02D6D"/>
    <w:rsid w:val="00C032DA"/>
    <w:rsid w:val="00C035E1"/>
    <w:rsid w:val="00C037A0"/>
    <w:rsid w:val="00C03EBE"/>
    <w:rsid w:val="00C043CA"/>
    <w:rsid w:val="00C060FD"/>
    <w:rsid w:val="00C07F86"/>
    <w:rsid w:val="00C10043"/>
    <w:rsid w:val="00C10277"/>
    <w:rsid w:val="00C107E9"/>
    <w:rsid w:val="00C10902"/>
    <w:rsid w:val="00C10B7D"/>
    <w:rsid w:val="00C10E46"/>
    <w:rsid w:val="00C10FA9"/>
    <w:rsid w:val="00C11507"/>
    <w:rsid w:val="00C118D1"/>
    <w:rsid w:val="00C12B87"/>
    <w:rsid w:val="00C13AC9"/>
    <w:rsid w:val="00C13F0C"/>
    <w:rsid w:val="00C1416C"/>
    <w:rsid w:val="00C14BA8"/>
    <w:rsid w:val="00C16451"/>
    <w:rsid w:val="00C16B87"/>
    <w:rsid w:val="00C17632"/>
    <w:rsid w:val="00C17B0D"/>
    <w:rsid w:val="00C20197"/>
    <w:rsid w:val="00C20882"/>
    <w:rsid w:val="00C22EE6"/>
    <w:rsid w:val="00C23576"/>
    <w:rsid w:val="00C23CE2"/>
    <w:rsid w:val="00C24256"/>
    <w:rsid w:val="00C242CB"/>
    <w:rsid w:val="00C247CF"/>
    <w:rsid w:val="00C249FF"/>
    <w:rsid w:val="00C256EB"/>
    <w:rsid w:val="00C25853"/>
    <w:rsid w:val="00C25F06"/>
    <w:rsid w:val="00C26699"/>
    <w:rsid w:val="00C2759D"/>
    <w:rsid w:val="00C27827"/>
    <w:rsid w:val="00C27AAB"/>
    <w:rsid w:val="00C306F5"/>
    <w:rsid w:val="00C3080F"/>
    <w:rsid w:val="00C30BE7"/>
    <w:rsid w:val="00C314BA"/>
    <w:rsid w:val="00C315DE"/>
    <w:rsid w:val="00C318B6"/>
    <w:rsid w:val="00C31D38"/>
    <w:rsid w:val="00C32426"/>
    <w:rsid w:val="00C32616"/>
    <w:rsid w:val="00C33130"/>
    <w:rsid w:val="00C338A3"/>
    <w:rsid w:val="00C33C5A"/>
    <w:rsid w:val="00C33E50"/>
    <w:rsid w:val="00C35B31"/>
    <w:rsid w:val="00C36369"/>
    <w:rsid w:val="00C36EF3"/>
    <w:rsid w:val="00C37284"/>
    <w:rsid w:val="00C40A3B"/>
    <w:rsid w:val="00C40AB7"/>
    <w:rsid w:val="00C42A4E"/>
    <w:rsid w:val="00C4387C"/>
    <w:rsid w:val="00C43A29"/>
    <w:rsid w:val="00C44046"/>
    <w:rsid w:val="00C44212"/>
    <w:rsid w:val="00C443AC"/>
    <w:rsid w:val="00C44518"/>
    <w:rsid w:val="00C44728"/>
    <w:rsid w:val="00C45128"/>
    <w:rsid w:val="00C4596E"/>
    <w:rsid w:val="00C45C37"/>
    <w:rsid w:val="00C461D9"/>
    <w:rsid w:val="00C4627D"/>
    <w:rsid w:val="00C46D43"/>
    <w:rsid w:val="00C471CB"/>
    <w:rsid w:val="00C474CA"/>
    <w:rsid w:val="00C4793E"/>
    <w:rsid w:val="00C51134"/>
    <w:rsid w:val="00C51DA3"/>
    <w:rsid w:val="00C51DD2"/>
    <w:rsid w:val="00C51E28"/>
    <w:rsid w:val="00C51EDE"/>
    <w:rsid w:val="00C53FB7"/>
    <w:rsid w:val="00C54CAF"/>
    <w:rsid w:val="00C54E6F"/>
    <w:rsid w:val="00C54EE6"/>
    <w:rsid w:val="00C55622"/>
    <w:rsid w:val="00C557CD"/>
    <w:rsid w:val="00C56789"/>
    <w:rsid w:val="00C56A7E"/>
    <w:rsid w:val="00C57515"/>
    <w:rsid w:val="00C57E07"/>
    <w:rsid w:val="00C60585"/>
    <w:rsid w:val="00C60611"/>
    <w:rsid w:val="00C60FFD"/>
    <w:rsid w:val="00C61335"/>
    <w:rsid w:val="00C61AEE"/>
    <w:rsid w:val="00C623FF"/>
    <w:rsid w:val="00C626B9"/>
    <w:rsid w:val="00C62832"/>
    <w:rsid w:val="00C6340E"/>
    <w:rsid w:val="00C637B0"/>
    <w:rsid w:val="00C63A9E"/>
    <w:rsid w:val="00C64FBE"/>
    <w:rsid w:val="00C654B1"/>
    <w:rsid w:val="00C65715"/>
    <w:rsid w:val="00C65C3B"/>
    <w:rsid w:val="00C660FA"/>
    <w:rsid w:val="00C66221"/>
    <w:rsid w:val="00C66830"/>
    <w:rsid w:val="00C66887"/>
    <w:rsid w:val="00C6693D"/>
    <w:rsid w:val="00C66A68"/>
    <w:rsid w:val="00C676D0"/>
    <w:rsid w:val="00C67815"/>
    <w:rsid w:val="00C678E7"/>
    <w:rsid w:val="00C67A5D"/>
    <w:rsid w:val="00C67B2B"/>
    <w:rsid w:val="00C67C69"/>
    <w:rsid w:val="00C70477"/>
    <w:rsid w:val="00C70B53"/>
    <w:rsid w:val="00C70D19"/>
    <w:rsid w:val="00C71ADD"/>
    <w:rsid w:val="00C71B36"/>
    <w:rsid w:val="00C71C28"/>
    <w:rsid w:val="00C72305"/>
    <w:rsid w:val="00C733EE"/>
    <w:rsid w:val="00C7367C"/>
    <w:rsid w:val="00C737F7"/>
    <w:rsid w:val="00C7405D"/>
    <w:rsid w:val="00C751C2"/>
    <w:rsid w:val="00C754A3"/>
    <w:rsid w:val="00C754DD"/>
    <w:rsid w:val="00C762FC"/>
    <w:rsid w:val="00C80F24"/>
    <w:rsid w:val="00C8154A"/>
    <w:rsid w:val="00C818E1"/>
    <w:rsid w:val="00C81BCD"/>
    <w:rsid w:val="00C81D37"/>
    <w:rsid w:val="00C820E7"/>
    <w:rsid w:val="00C82490"/>
    <w:rsid w:val="00C8258D"/>
    <w:rsid w:val="00C8267F"/>
    <w:rsid w:val="00C82ED9"/>
    <w:rsid w:val="00C83156"/>
    <w:rsid w:val="00C84C3B"/>
    <w:rsid w:val="00C85442"/>
    <w:rsid w:val="00C8566C"/>
    <w:rsid w:val="00C85D48"/>
    <w:rsid w:val="00C86519"/>
    <w:rsid w:val="00C86D75"/>
    <w:rsid w:val="00C8795B"/>
    <w:rsid w:val="00C87DC9"/>
    <w:rsid w:val="00C904B7"/>
    <w:rsid w:val="00C90D10"/>
    <w:rsid w:val="00C91435"/>
    <w:rsid w:val="00C91D57"/>
    <w:rsid w:val="00C92231"/>
    <w:rsid w:val="00C92787"/>
    <w:rsid w:val="00C9285F"/>
    <w:rsid w:val="00C92A9D"/>
    <w:rsid w:val="00C93740"/>
    <w:rsid w:val="00C93E49"/>
    <w:rsid w:val="00C94EFC"/>
    <w:rsid w:val="00C955DD"/>
    <w:rsid w:val="00C9563B"/>
    <w:rsid w:val="00C95CA6"/>
    <w:rsid w:val="00C9641C"/>
    <w:rsid w:val="00C964C3"/>
    <w:rsid w:val="00C969B4"/>
    <w:rsid w:val="00C97B0B"/>
    <w:rsid w:val="00C97EB4"/>
    <w:rsid w:val="00CA019E"/>
    <w:rsid w:val="00CA0ACD"/>
    <w:rsid w:val="00CA1545"/>
    <w:rsid w:val="00CA17A6"/>
    <w:rsid w:val="00CA1E68"/>
    <w:rsid w:val="00CA2574"/>
    <w:rsid w:val="00CA2764"/>
    <w:rsid w:val="00CA2A13"/>
    <w:rsid w:val="00CA31C5"/>
    <w:rsid w:val="00CA3E75"/>
    <w:rsid w:val="00CA42EE"/>
    <w:rsid w:val="00CA5000"/>
    <w:rsid w:val="00CA5998"/>
    <w:rsid w:val="00CA5A51"/>
    <w:rsid w:val="00CA66C2"/>
    <w:rsid w:val="00CA6722"/>
    <w:rsid w:val="00CA68DF"/>
    <w:rsid w:val="00CA6EDE"/>
    <w:rsid w:val="00CA6FB6"/>
    <w:rsid w:val="00CA70CE"/>
    <w:rsid w:val="00CA78B6"/>
    <w:rsid w:val="00CB02C9"/>
    <w:rsid w:val="00CB0701"/>
    <w:rsid w:val="00CB0A43"/>
    <w:rsid w:val="00CB0C07"/>
    <w:rsid w:val="00CB248C"/>
    <w:rsid w:val="00CB2E34"/>
    <w:rsid w:val="00CB31F0"/>
    <w:rsid w:val="00CB3985"/>
    <w:rsid w:val="00CB503C"/>
    <w:rsid w:val="00CB5341"/>
    <w:rsid w:val="00CB591C"/>
    <w:rsid w:val="00CB5D6E"/>
    <w:rsid w:val="00CB5EFF"/>
    <w:rsid w:val="00CB5F1B"/>
    <w:rsid w:val="00CB614B"/>
    <w:rsid w:val="00CB6384"/>
    <w:rsid w:val="00CB63A3"/>
    <w:rsid w:val="00CB6B5B"/>
    <w:rsid w:val="00CB74F9"/>
    <w:rsid w:val="00CB7766"/>
    <w:rsid w:val="00CB7EEF"/>
    <w:rsid w:val="00CC0156"/>
    <w:rsid w:val="00CC0500"/>
    <w:rsid w:val="00CC06F0"/>
    <w:rsid w:val="00CC09BF"/>
    <w:rsid w:val="00CC0BB3"/>
    <w:rsid w:val="00CC104D"/>
    <w:rsid w:val="00CC1245"/>
    <w:rsid w:val="00CC1877"/>
    <w:rsid w:val="00CC2484"/>
    <w:rsid w:val="00CC298D"/>
    <w:rsid w:val="00CC2D5C"/>
    <w:rsid w:val="00CC3202"/>
    <w:rsid w:val="00CC3AE6"/>
    <w:rsid w:val="00CC4766"/>
    <w:rsid w:val="00CC5811"/>
    <w:rsid w:val="00CC6B00"/>
    <w:rsid w:val="00CC73AD"/>
    <w:rsid w:val="00CC78EC"/>
    <w:rsid w:val="00CC78ED"/>
    <w:rsid w:val="00CD0372"/>
    <w:rsid w:val="00CD0ADE"/>
    <w:rsid w:val="00CD0E8B"/>
    <w:rsid w:val="00CD10FF"/>
    <w:rsid w:val="00CD1B96"/>
    <w:rsid w:val="00CD1FED"/>
    <w:rsid w:val="00CD2606"/>
    <w:rsid w:val="00CD2B53"/>
    <w:rsid w:val="00CD3B6D"/>
    <w:rsid w:val="00CD468F"/>
    <w:rsid w:val="00CD476A"/>
    <w:rsid w:val="00CD478F"/>
    <w:rsid w:val="00CD4DFE"/>
    <w:rsid w:val="00CD586F"/>
    <w:rsid w:val="00CD6D3E"/>
    <w:rsid w:val="00CE00A5"/>
    <w:rsid w:val="00CE02F2"/>
    <w:rsid w:val="00CE07D7"/>
    <w:rsid w:val="00CE0B88"/>
    <w:rsid w:val="00CE1FEF"/>
    <w:rsid w:val="00CE22A3"/>
    <w:rsid w:val="00CE2483"/>
    <w:rsid w:val="00CE2769"/>
    <w:rsid w:val="00CE3A09"/>
    <w:rsid w:val="00CE3BD6"/>
    <w:rsid w:val="00CE4AD8"/>
    <w:rsid w:val="00CE5DA0"/>
    <w:rsid w:val="00CE6CFA"/>
    <w:rsid w:val="00CE7164"/>
    <w:rsid w:val="00CE71B0"/>
    <w:rsid w:val="00CE767F"/>
    <w:rsid w:val="00CE7DCE"/>
    <w:rsid w:val="00CF0288"/>
    <w:rsid w:val="00CF1562"/>
    <w:rsid w:val="00CF16C5"/>
    <w:rsid w:val="00CF22E2"/>
    <w:rsid w:val="00CF230A"/>
    <w:rsid w:val="00CF278E"/>
    <w:rsid w:val="00CF2BEB"/>
    <w:rsid w:val="00CF3052"/>
    <w:rsid w:val="00CF325B"/>
    <w:rsid w:val="00CF36A9"/>
    <w:rsid w:val="00CF3BFF"/>
    <w:rsid w:val="00CF5399"/>
    <w:rsid w:val="00CF54B2"/>
    <w:rsid w:val="00CF5614"/>
    <w:rsid w:val="00CF5AE8"/>
    <w:rsid w:val="00CF609A"/>
    <w:rsid w:val="00CF6915"/>
    <w:rsid w:val="00CF6C50"/>
    <w:rsid w:val="00CF6CCB"/>
    <w:rsid w:val="00CF70F6"/>
    <w:rsid w:val="00CF7DC2"/>
    <w:rsid w:val="00D000C9"/>
    <w:rsid w:val="00D002EC"/>
    <w:rsid w:val="00D007DF"/>
    <w:rsid w:val="00D0129C"/>
    <w:rsid w:val="00D01440"/>
    <w:rsid w:val="00D01517"/>
    <w:rsid w:val="00D018C3"/>
    <w:rsid w:val="00D024FD"/>
    <w:rsid w:val="00D02621"/>
    <w:rsid w:val="00D0281B"/>
    <w:rsid w:val="00D03251"/>
    <w:rsid w:val="00D038BF"/>
    <w:rsid w:val="00D039F3"/>
    <w:rsid w:val="00D03AB6"/>
    <w:rsid w:val="00D03D26"/>
    <w:rsid w:val="00D045EC"/>
    <w:rsid w:val="00D04B5A"/>
    <w:rsid w:val="00D05188"/>
    <w:rsid w:val="00D05EC1"/>
    <w:rsid w:val="00D07132"/>
    <w:rsid w:val="00D079A2"/>
    <w:rsid w:val="00D07D33"/>
    <w:rsid w:val="00D07E60"/>
    <w:rsid w:val="00D10252"/>
    <w:rsid w:val="00D10367"/>
    <w:rsid w:val="00D1078C"/>
    <w:rsid w:val="00D113EB"/>
    <w:rsid w:val="00D11C81"/>
    <w:rsid w:val="00D120B0"/>
    <w:rsid w:val="00D1247D"/>
    <w:rsid w:val="00D12829"/>
    <w:rsid w:val="00D12CED"/>
    <w:rsid w:val="00D12EEF"/>
    <w:rsid w:val="00D132F1"/>
    <w:rsid w:val="00D135A3"/>
    <w:rsid w:val="00D13F30"/>
    <w:rsid w:val="00D13F84"/>
    <w:rsid w:val="00D1430E"/>
    <w:rsid w:val="00D143C8"/>
    <w:rsid w:val="00D1489C"/>
    <w:rsid w:val="00D14C3F"/>
    <w:rsid w:val="00D14C97"/>
    <w:rsid w:val="00D14F4F"/>
    <w:rsid w:val="00D1586F"/>
    <w:rsid w:val="00D15D1F"/>
    <w:rsid w:val="00D15D83"/>
    <w:rsid w:val="00D16CD1"/>
    <w:rsid w:val="00D16D7D"/>
    <w:rsid w:val="00D1708D"/>
    <w:rsid w:val="00D17A4B"/>
    <w:rsid w:val="00D17D86"/>
    <w:rsid w:val="00D20DD3"/>
    <w:rsid w:val="00D2100B"/>
    <w:rsid w:val="00D21580"/>
    <w:rsid w:val="00D2186B"/>
    <w:rsid w:val="00D23737"/>
    <w:rsid w:val="00D237C2"/>
    <w:rsid w:val="00D23851"/>
    <w:rsid w:val="00D23A2E"/>
    <w:rsid w:val="00D23D0E"/>
    <w:rsid w:val="00D2485C"/>
    <w:rsid w:val="00D24894"/>
    <w:rsid w:val="00D24BE9"/>
    <w:rsid w:val="00D2520D"/>
    <w:rsid w:val="00D252C1"/>
    <w:rsid w:val="00D25311"/>
    <w:rsid w:val="00D256F7"/>
    <w:rsid w:val="00D25B6E"/>
    <w:rsid w:val="00D26828"/>
    <w:rsid w:val="00D27682"/>
    <w:rsid w:val="00D27955"/>
    <w:rsid w:val="00D27A16"/>
    <w:rsid w:val="00D27CBB"/>
    <w:rsid w:val="00D27DD1"/>
    <w:rsid w:val="00D31717"/>
    <w:rsid w:val="00D31F58"/>
    <w:rsid w:val="00D324AA"/>
    <w:rsid w:val="00D33376"/>
    <w:rsid w:val="00D33559"/>
    <w:rsid w:val="00D3393D"/>
    <w:rsid w:val="00D33B49"/>
    <w:rsid w:val="00D33D62"/>
    <w:rsid w:val="00D33E7F"/>
    <w:rsid w:val="00D34EE1"/>
    <w:rsid w:val="00D35705"/>
    <w:rsid w:val="00D358D0"/>
    <w:rsid w:val="00D35E68"/>
    <w:rsid w:val="00D36188"/>
    <w:rsid w:val="00D361A0"/>
    <w:rsid w:val="00D36867"/>
    <w:rsid w:val="00D36E52"/>
    <w:rsid w:val="00D36F9C"/>
    <w:rsid w:val="00D37017"/>
    <w:rsid w:val="00D3764C"/>
    <w:rsid w:val="00D37659"/>
    <w:rsid w:val="00D379ED"/>
    <w:rsid w:val="00D4073D"/>
    <w:rsid w:val="00D40A88"/>
    <w:rsid w:val="00D41082"/>
    <w:rsid w:val="00D418B4"/>
    <w:rsid w:val="00D42BD4"/>
    <w:rsid w:val="00D42E05"/>
    <w:rsid w:val="00D43155"/>
    <w:rsid w:val="00D43449"/>
    <w:rsid w:val="00D43827"/>
    <w:rsid w:val="00D44106"/>
    <w:rsid w:val="00D445AC"/>
    <w:rsid w:val="00D44DBC"/>
    <w:rsid w:val="00D44DE1"/>
    <w:rsid w:val="00D44F4C"/>
    <w:rsid w:val="00D45163"/>
    <w:rsid w:val="00D46045"/>
    <w:rsid w:val="00D46825"/>
    <w:rsid w:val="00D46A59"/>
    <w:rsid w:val="00D478C8"/>
    <w:rsid w:val="00D50B08"/>
    <w:rsid w:val="00D50CAB"/>
    <w:rsid w:val="00D50DEF"/>
    <w:rsid w:val="00D50F6B"/>
    <w:rsid w:val="00D5101E"/>
    <w:rsid w:val="00D51227"/>
    <w:rsid w:val="00D51347"/>
    <w:rsid w:val="00D5169C"/>
    <w:rsid w:val="00D51903"/>
    <w:rsid w:val="00D51A00"/>
    <w:rsid w:val="00D51B8A"/>
    <w:rsid w:val="00D5261A"/>
    <w:rsid w:val="00D54094"/>
    <w:rsid w:val="00D5506D"/>
    <w:rsid w:val="00D553D8"/>
    <w:rsid w:val="00D55570"/>
    <w:rsid w:val="00D5567C"/>
    <w:rsid w:val="00D556FB"/>
    <w:rsid w:val="00D55EB7"/>
    <w:rsid w:val="00D56AB2"/>
    <w:rsid w:val="00D56BB5"/>
    <w:rsid w:val="00D56E51"/>
    <w:rsid w:val="00D56F0C"/>
    <w:rsid w:val="00D57762"/>
    <w:rsid w:val="00D578EF"/>
    <w:rsid w:val="00D60079"/>
    <w:rsid w:val="00D60156"/>
    <w:rsid w:val="00D60196"/>
    <w:rsid w:val="00D60A10"/>
    <w:rsid w:val="00D60CD3"/>
    <w:rsid w:val="00D60D19"/>
    <w:rsid w:val="00D60E26"/>
    <w:rsid w:val="00D61B8C"/>
    <w:rsid w:val="00D623E1"/>
    <w:rsid w:val="00D6298E"/>
    <w:rsid w:val="00D62C5A"/>
    <w:rsid w:val="00D62EFB"/>
    <w:rsid w:val="00D62FA7"/>
    <w:rsid w:val="00D638A1"/>
    <w:rsid w:val="00D64097"/>
    <w:rsid w:val="00D6434A"/>
    <w:rsid w:val="00D649E7"/>
    <w:rsid w:val="00D64A58"/>
    <w:rsid w:val="00D64AF0"/>
    <w:rsid w:val="00D64C82"/>
    <w:rsid w:val="00D65609"/>
    <w:rsid w:val="00D65998"/>
    <w:rsid w:val="00D66B48"/>
    <w:rsid w:val="00D671BF"/>
    <w:rsid w:val="00D67346"/>
    <w:rsid w:val="00D673AE"/>
    <w:rsid w:val="00D67654"/>
    <w:rsid w:val="00D67E7C"/>
    <w:rsid w:val="00D70096"/>
    <w:rsid w:val="00D70D2D"/>
    <w:rsid w:val="00D70DA3"/>
    <w:rsid w:val="00D70E3E"/>
    <w:rsid w:val="00D70F5C"/>
    <w:rsid w:val="00D70F67"/>
    <w:rsid w:val="00D720D4"/>
    <w:rsid w:val="00D727D5"/>
    <w:rsid w:val="00D729C9"/>
    <w:rsid w:val="00D732C4"/>
    <w:rsid w:val="00D74772"/>
    <w:rsid w:val="00D749F5"/>
    <w:rsid w:val="00D7551D"/>
    <w:rsid w:val="00D75561"/>
    <w:rsid w:val="00D755AD"/>
    <w:rsid w:val="00D756BF"/>
    <w:rsid w:val="00D76636"/>
    <w:rsid w:val="00D7683A"/>
    <w:rsid w:val="00D76894"/>
    <w:rsid w:val="00D76983"/>
    <w:rsid w:val="00D76AE8"/>
    <w:rsid w:val="00D771B2"/>
    <w:rsid w:val="00D77510"/>
    <w:rsid w:val="00D7799F"/>
    <w:rsid w:val="00D77A3B"/>
    <w:rsid w:val="00D77D9C"/>
    <w:rsid w:val="00D80373"/>
    <w:rsid w:val="00D8098D"/>
    <w:rsid w:val="00D80AE1"/>
    <w:rsid w:val="00D80C9B"/>
    <w:rsid w:val="00D810AC"/>
    <w:rsid w:val="00D81420"/>
    <w:rsid w:val="00D814A3"/>
    <w:rsid w:val="00D837DC"/>
    <w:rsid w:val="00D8393E"/>
    <w:rsid w:val="00D839D0"/>
    <w:rsid w:val="00D840F0"/>
    <w:rsid w:val="00D84290"/>
    <w:rsid w:val="00D84390"/>
    <w:rsid w:val="00D8495B"/>
    <w:rsid w:val="00D84BE6"/>
    <w:rsid w:val="00D85351"/>
    <w:rsid w:val="00D8567C"/>
    <w:rsid w:val="00D857B7"/>
    <w:rsid w:val="00D85A1E"/>
    <w:rsid w:val="00D85B0B"/>
    <w:rsid w:val="00D8600B"/>
    <w:rsid w:val="00D86277"/>
    <w:rsid w:val="00D8640B"/>
    <w:rsid w:val="00D86433"/>
    <w:rsid w:val="00D864C4"/>
    <w:rsid w:val="00D86E23"/>
    <w:rsid w:val="00D87AA6"/>
    <w:rsid w:val="00D87D75"/>
    <w:rsid w:val="00D90613"/>
    <w:rsid w:val="00D907F8"/>
    <w:rsid w:val="00D90A24"/>
    <w:rsid w:val="00D90ED6"/>
    <w:rsid w:val="00D91D92"/>
    <w:rsid w:val="00D92238"/>
    <w:rsid w:val="00D9257C"/>
    <w:rsid w:val="00D92776"/>
    <w:rsid w:val="00D928D5"/>
    <w:rsid w:val="00D929C2"/>
    <w:rsid w:val="00D92A6E"/>
    <w:rsid w:val="00D92F8A"/>
    <w:rsid w:val="00D93EBD"/>
    <w:rsid w:val="00D94247"/>
    <w:rsid w:val="00D94776"/>
    <w:rsid w:val="00D9559A"/>
    <w:rsid w:val="00D95A77"/>
    <w:rsid w:val="00D96831"/>
    <w:rsid w:val="00D97D57"/>
    <w:rsid w:val="00DA0387"/>
    <w:rsid w:val="00DA0D0E"/>
    <w:rsid w:val="00DA0DDF"/>
    <w:rsid w:val="00DA1071"/>
    <w:rsid w:val="00DA13C0"/>
    <w:rsid w:val="00DA18BD"/>
    <w:rsid w:val="00DA19AF"/>
    <w:rsid w:val="00DA1CFA"/>
    <w:rsid w:val="00DA3095"/>
    <w:rsid w:val="00DA3613"/>
    <w:rsid w:val="00DA48A9"/>
    <w:rsid w:val="00DA49AE"/>
    <w:rsid w:val="00DA4AB7"/>
    <w:rsid w:val="00DA4AD3"/>
    <w:rsid w:val="00DA4B87"/>
    <w:rsid w:val="00DA5934"/>
    <w:rsid w:val="00DA59D2"/>
    <w:rsid w:val="00DA6880"/>
    <w:rsid w:val="00DA6893"/>
    <w:rsid w:val="00DA6CA6"/>
    <w:rsid w:val="00DA700C"/>
    <w:rsid w:val="00DA72AE"/>
    <w:rsid w:val="00DA762E"/>
    <w:rsid w:val="00DA7E65"/>
    <w:rsid w:val="00DB04B6"/>
    <w:rsid w:val="00DB087B"/>
    <w:rsid w:val="00DB0ACD"/>
    <w:rsid w:val="00DB127B"/>
    <w:rsid w:val="00DB26D4"/>
    <w:rsid w:val="00DB2B9C"/>
    <w:rsid w:val="00DB3463"/>
    <w:rsid w:val="00DB3656"/>
    <w:rsid w:val="00DB3777"/>
    <w:rsid w:val="00DB3CCC"/>
    <w:rsid w:val="00DB4118"/>
    <w:rsid w:val="00DB4694"/>
    <w:rsid w:val="00DB47C0"/>
    <w:rsid w:val="00DB48E7"/>
    <w:rsid w:val="00DB4B90"/>
    <w:rsid w:val="00DB4E76"/>
    <w:rsid w:val="00DB508E"/>
    <w:rsid w:val="00DB52C1"/>
    <w:rsid w:val="00DB6BA0"/>
    <w:rsid w:val="00DB6DCD"/>
    <w:rsid w:val="00DB6E6D"/>
    <w:rsid w:val="00DB7EA5"/>
    <w:rsid w:val="00DC0116"/>
    <w:rsid w:val="00DC05CE"/>
    <w:rsid w:val="00DC0D14"/>
    <w:rsid w:val="00DC1261"/>
    <w:rsid w:val="00DC1575"/>
    <w:rsid w:val="00DC29B4"/>
    <w:rsid w:val="00DC37E2"/>
    <w:rsid w:val="00DC40A7"/>
    <w:rsid w:val="00DC41E6"/>
    <w:rsid w:val="00DC4FB1"/>
    <w:rsid w:val="00DC5575"/>
    <w:rsid w:val="00DC58B1"/>
    <w:rsid w:val="00DC5C5A"/>
    <w:rsid w:val="00DC5CD7"/>
    <w:rsid w:val="00DC5E3F"/>
    <w:rsid w:val="00DC6825"/>
    <w:rsid w:val="00DC71E2"/>
    <w:rsid w:val="00DC7515"/>
    <w:rsid w:val="00DD0407"/>
    <w:rsid w:val="00DD0839"/>
    <w:rsid w:val="00DD095F"/>
    <w:rsid w:val="00DD0C1D"/>
    <w:rsid w:val="00DD0E87"/>
    <w:rsid w:val="00DD12A1"/>
    <w:rsid w:val="00DD1756"/>
    <w:rsid w:val="00DD1D36"/>
    <w:rsid w:val="00DD29C9"/>
    <w:rsid w:val="00DD3BF9"/>
    <w:rsid w:val="00DD3EC6"/>
    <w:rsid w:val="00DD46F6"/>
    <w:rsid w:val="00DD4892"/>
    <w:rsid w:val="00DD52C5"/>
    <w:rsid w:val="00DD5A63"/>
    <w:rsid w:val="00DD5C07"/>
    <w:rsid w:val="00DD5CD6"/>
    <w:rsid w:val="00DD6537"/>
    <w:rsid w:val="00DD6924"/>
    <w:rsid w:val="00DD6B11"/>
    <w:rsid w:val="00DD6C02"/>
    <w:rsid w:val="00DD7035"/>
    <w:rsid w:val="00DD7636"/>
    <w:rsid w:val="00DD7875"/>
    <w:rsid w:val="00DD7F3A"/>
    <w:rsid w:val="00DD7F3F"/>
    <w:rsid w:val="00DE0D1E"/>
    <w:rsid w:val="00DE12F0"/>
    <w:rsid w:val="00DE143A"/>
    <w:rsid w:val="00DE1890"/>
    <w:rsid w:val="00DE18E4"/>
    <w:rsid w:val="00DE2083"/>
    <w:rsid w:val="00DE2AA8"/>
    <w:rsid w:val="00DE2AB7"/>
    <w:rsid w:val="00DE2CA2"/>
    <w:rsid w:val="00DE30E3"/>
    <w:rsid w:val="00DE3555"/>
    <w:rsid w:val="00DE38BE"/>
    <w:rsid w:val="00DE3A61"/>
    <w:rsid w:val="00DE416D"/>
    <w:rsid w:val="00DE41A7"/>
    <w:rsid w:val="00DE4989"/>
    <w:rsid w:val="00DE4ABE"/>
    <w:rsid w:val="00DE5131"/>
    <w:rsid w:val="00DE5295"/>
    <w:rsid w:val="00DE57DA"/>
    <w:rsid w:val="00DE5AEF"/>
    <w:rsid w:val="00DE6104"/>
    <w:rsid w:val="00DE62AD"/>
    <w:rsid w:val="00DE6DA8"/>
    <w:rsid w:val="00DE6E65"/>
    <w:rsid w:val="00DE7679"/>
    <w:rsid w:val="00DE79A1"/>
    <w:rsid w:val="00DE7A81"/>
    <w:rsid w:val="00DF0C96"/>
    <w:rsid w:val="00DF0D2B"/>
    <w:rsid w:val="00DF0EC5"/>
    <w:rsid w:val="00DF0FDB"/>
    <w:rsid w:val="00DF131C"/>
    <w:rsid w:val="00DF1827"/>
    <w:rsid w:val="00DF1E87"/>
    <w:rsid w:val="00DF260E"/>
    <w:rsid w:val="00DF27C9"/>
    <w:rsid w:val="00DF3406"/>
    <w:rsid w:val="00DF40F2"/>
    <w:rsid w:val="00DF46D6"/>
    <w:rsid w:val="00DF4B3C"/>
    <w:rsid w:val="00DF51C8"/>
    <w:rsid w:val="00DF5662"/>
    <w:rsid w:val="00DF5BF8"/>
    <w:rsid w:val="00DF5CAA"/>
    <w:rsid w:val="00DF6109"/>
    <w:rsid w:val="00DF6370"/>
    <w:rsid w:val="00DF661D"/>
    <w:rsid w:val="00DF7138"/>
    <w:rsid w:val="00DF749B"/>
    <w:rsid w:val="00DF7A48"/>
    <w:rsid w:val="00DF7BF8"/>
    <w:rsid w:val="00E00565"/>
    <w:rsid w:val="00E0146D"/>
    <w:rsid w:val="00E01760"/>
    <w:rsid w:val="00E019B7"/>
    <w:rsid w:val="00E034A6"/>
    <w:rsid w:val="00E03696"/>
    <w:rsid w:val="00E038E7"/>
    <w:rsid w:val="00E0422B"/>
    <w:rsid w:val="00E042DF"/>
    <w:rsid w:val="00E04E74"/>
    <w:rsid w:val="00E050FC"/>
    <w:rsid w:val="00E05508"/>
    <w:rsid w:val="00E05BE0"/>
    <w:rsid w:val="00E06746"/>
    <w:rsid w:val="00E06A91"/>
    <w:rsid w:val="00E06C3B"/>
    <w:rsid w:val="00E07F4A"/>
    <w:rsid w:val="00E100B8"/>
    <w:rsid w:val="00E101A8"/>
    <w:rsid w:val="00E10441"/>
    <w:rsid w:val="00E1087D"/>
    <w:rsid w:val="00E124C8"/>
    <w:rsid w:val="00E12538"/>
    <w:rsid w:val="00E12EA1"/>
    <w:rsid w:val="00E13D8E"/>
    <w:rsid w:val="00E14442"/>
    <w:rsid w:val="00E1488F"/>
    <w:rsid w:val="00E148B2"/>
    <w:rsid w:val="00E149D3"/>
    <w:rsid w:val="00E15024"/>
    <w:rsid w:val="00E1512E"/>
    <w:rsid w:val="00E153F1"/>
    <w:rsid w:val="00E15E8D"/>
    <w:rsid w:val="00E164E5"/>
    <w:rsid w:val="00E16B4A"/>
    <w:rsid w:val="00E17252"/>
    <w:rsid w:val="00E1766F"/>
    <w:rsid w:val="00E17875"/>
    <w:rsid w:val="00E17C89"/>
    <w:rsid w:val="00E17DDE"/>
    <w:rsid w:val="00E17EA7"/>
    <w:rsid w:val="00E20513"/>
    <w:rsid w:val="00E2073D"/>
    <w:rsid w:val="00E20ACC"/>
    <w:rsid w:val="00E21CD3"/>
    <w:rsid w:val="00E23156"/>
    <w:rsid w:val="00E23C9B"/>
    <w:rsid w:val="00E23D84"/>
    <w:rsid w:val="00E24469"/>
    <w:rsid w:val="00E24A19"/>
    <w:rsid w:val="00E25C1D"/>
    <w:rsid w:val="00E25FB7"/>
    <w:rsid w:val="00E26DB9"/>
    <w:rsid w:val="00E26F2E"/>
    <w:rsid w:val="00E27CD8"/>
    <w:rsid w:val="00E304DF"/>
    <w:rsid w:val="00E30606"/>
    <w:rsid w:val="00E3088C"/>
    <w:rsid w:val="00E31535"/>
    <w:rsid w:val="00E31A10"/>
    <w:rsid w:val="00E32A85"/>
    <w:rsid w:val="00E32CD8"/>
    <w:rsid w:val="00E3305F"/>
    <w:rsid w:val="00E33473"/>
    <w:rsid w:val="00E34047"/>
    <w:rsid w:val="00E34DF8"/>
    <w:rsid w:val="00E356AF"/>
    <w:rsid w:val="00E364EE"/>
    <w:rsid w:val="00E374F9"/>
    <w:rsid w:val="00E37517"/>
    <w:rsid w:val="00E3756C"/>
    <w:rsid w:val="00E37E4A"/>
    <w:rsid w:val="00E37EC8"/>
    <w:rsid w:val="00E406D3"/>
    <w:rsid w:val="00E407A4"/>
    <w:rsid w:val="00E410D1"/>
    <w:rsid w:val="00E41FCA"/>
    <w:rsid w:val="00E42491"/>
    <w:rsid w:val="00E4276E"/>
    <w:rsid w:val="00E42D78"/>
    <w:rsid w:val="00E42FE4"/>
    <w:rsid w:val="00E4350C"/>
    <w:rsid w:val="00E43761"/>
    <w:rsid w:val="00E447EA"/>
    <w:rsid w:val="00E44A47"/>
    <w:rsid w:val="00E44C21"/>
    <w:rsid w:val="00E453EA"/>
    <w:rsid w:val="00E45716"/>
    <w:rsid w:val="00E46331"/>
    <w:rsid w:val="00E46AE2"/>
    <w:rsid w:val="00E4701C"/>
    <w:rsid w:val="00E470E4"/>
    <w:rsid w:val="00E47339"/>
    <w:rsid w:val="00E4738F"/>
    <w:rsid w:val="00E50557"/>
    <w:rsid w:val="00E50670"/>
    <w:rsid w:val="00E51AC1"/>
    <w:rsid w:val="00E51E88"/>
    <w:rsid w:val="00E52F20"/>
    <w:rsid w:val="00E53189"/>
    <w:rsid w:val="00E53628"/>
    <w:rsid w:val="00E5373D"/>
    <w:rsid w:val="00E53969"/>
    <w:rsid w:val="00E5396B"/>
    <w:rsid w:val="00E547A9"/>
    <w:rsid w:val="00E547F4"/>
    <w:rsid w:val="00E54EF6"/>
    <w:rsid w:val="00E54FB5"/>
    <w:rsid w:val="00E56310"/>
    <w:rsid w:val="00E566A3"/>
    <w:rsid w:val="00E56DFF"/>
    <w:rsid w:val="00E56F91"/>
    <w:rsid w:val="00E577B8"/>
    <w:rsid w:val="00E57A1A"/>
    <w:rsid w:val="00E57E90"/>
    <w:rsid w:val="00E60E03"/>
    <w:rsid w:val="00E61496"/>
    <w:rsid w:val="00E61CC7"/>
    <w:rsid w:val="00E61E14"/>
    <w:rsid w:val="00E62094"/>
    <w:rsid w:val="00E622AC"/>
    <w:rsid w:val="00E62AEB"/>
    <w:rsid w:val="00E6312E"/>
    <w:rsid w:val="00E633F9"/>
    <w:rsid w:val="00E634DF"/>
    <w:rsid w:val="00E64271"/>
    <w:rsid w:val="00E645FB"/>
    <w:rsid w:val="00E64BB9"/>
    <w:rsid w:val="00E64EDE"/>
    <w:rsid w:val="00E65151"/>
    <w:rsid w:val="00E652B9"/>
    <w:rsid w:val="00E656BC"/>
    <w:rsid w:val="00E65C6B"/>
    <w:rsid w:val="00E65CD6"/>
    <w:rsid w:val="00E66E9C"/>
    <w:rsid w:val="00E7020B"/>
    <w:rsid w:val="00E7128F"/>
    <w:rsid w:val="00E7158D"/>
    <w:rsid w:val="00E717E0"/>
    <w:rsid w:val="00E71FBC"/>
    <w:rsid w:val="00E72A43"/>
    <w:rsid w:val="00E72CDE"/>
    <w:rsid w:val="00E7305F"/>
    <w:rsid w:val="00E7328A"/>
    <w:rsid w:val="00E734DE"/>
    <w:rsid w:val="00E7404F"/>
    <w:rsid w:val="00E7479D"/>
    <w:rsid w:val="00E74823"/>
    <w:rsid w:val="00E753BB"/>
    <w:rsid w:val="00E7621D"/>
    <w:rsid w:val="00E765A5"/>
    <w:rsid w:val="00E77139"/>
    <w:rsid w:val="00E77248"/>
    <w:rsid w:val="00E77652"/>
    <w:rsid w:val="00E776D9"/>
    <w:rsid w:val="00E778CE"/>
    <w:rsid w:val="00E80BBF"/>
    <w:rsid w:val="00E81739"/>
    <w:rsid w:val="00E81995"/>
    <w:rsid w:val="00E81F28"/>
    <w:rsid w:val="00E827C6"/>
    <w:rsid w:val="00E82959"/>
    <w:rsid w:val="00E832EB"/>
    <w:rsid w:val="00E8418B"/>
    <w:rsid w:val="00E84854"/>
    <w:rsid w:val="00E84A0A"/>
    <w:rsid w:val="00E84C87"/>
    <w:rsid w:val="00E84CDA"/>
    <w:rsid w:val="00E85525"/>
    <w:rsid w:val="00E85BBF"/>
    <w:rsid w:val="00E86755"/>
    <w:rsid w:val="00E86870"/>
    <w:rsid w:val="00E8748B"/>
    <w:rsid w:val="00E90452"/>
    <w:rsid w:val="00E91381"/>
    <w:rsid w:val="00E91882"/>
    <w:rsid w:val="00E918DA"/>
    <w:rsid w:val="00E92638"/>
    <w:rsid w:val="00E93837"/>
    <w:rsid w:val="00E94A81"/>
    <w:rsid w:val="00E94B8D"/>
    <w:rsid w:val="00E95494"/>
    <w:rsid w:val="00E95948"/>
    <w:rsid w:val="00E95ABE"/>
    <w:rsid w:val="00E96122"/>
    <w:rsid w:val="00E975AE"/>
    <w:rsid w:val="00E976D6"/>
    <w:rsid w:val="00E97F26"/>
    <w:rsid w:val="00EA0389"/>
    <w:rsid w:val="00EA091F"/>
    <w:rsid w:val="00EA1257"/>
    <w:rsid w:val="00EA2301"/>
    <w:rsid w:val="00EA253B"/>
    <w:rsid w:val="00EA25A1"/>
    <w:rsid w:val="00EA25C6"/>
    <w:rsid w:val="00EA2FB7"/>
    <w:rsid w:val="00EA346F"/>
    <w:rsid w:val="00EA3744"/>
    <w:rsid w:val="00EA3C62"/>
    <w:rsid w:val="00EA402B"/>
    <w:rsid w:val="00EA413A"/>
    <w:rsid w:val="00EA4224"/>
    <w:rsid w:val="00EA4272"/>
    <w:rsid w:val="00EA43FA"/>
    <w:rsid w:val="00EA4623"/>
    <w:rsid w:val="00EA4F9F"/>
    <w:rsid w:val="00EA52FC"/>
    <w:rsid w:val="00EA56F9"/>
    <w:rsid w:val="00EA5B0E"/>
    <w:rsid w:val="00EA5B69"/>
    <w:rsid w:val="00EA5CCC"/>
    <w:rsid w:val="00EA5D87"/>
    <w:rsid w:val="00EA5FF0"/>
    <w:rsid w:val="00EA6764"/>
    <w:rsid w:val="00EA7660"/>
    <w:rsid w:val="00EB032E"/>
    <w:rsid w:val="00EB048E"/>
    <w:rsid w:val="00EB0569"/>
    <w:rsid w:val="00EB16AD"/>
    <w:rsid w:val="00EB17F6"/>
    <w:rsid w:val="00EB2505"/>
    <w:rsid w:val="00EB286C"/>
    <w:rsid w:val="00EB2B7C"/>
    <w:rsid w:val="00EB36FC"/>
    <w:rsid w:val="00EB3C13"/>
    <w:rsid w:val="00EB3C2C"/>
    <w:rsid w:val="00EB3EC2"/>
    <w:rsid w:val="00EB3EFB"/>
    <w:rsid w:val="00EB3F1B"/>
    <w:rsid w:val="00EB43D4"/>
    <w:rsid w:val="00EB46CD"/>
    <w:rsid w:val="00EB51A7"/>
    <w:rsid w:val="00EB59A9"/>
    <w:rsid w:val="00EB5F4C"/>
    <w:rsid w:val="00EB6184"/>
    <w:rsid w:val="00EB61A6"/>
    <w:rsid w:val="00EB699A"/>
    <w:rsid w:val="00EB6DA2"/>
    <w:rsid w:val="00EB7251"/>
    <w:rsid w:val="00EB72CA"/>
    <w:rsid w:val="00EB77D9"/>
    <w:rsid w:val="00EB781F"/>
    <w:rsid w:val="00EB7D59"/>
    <w:rsid w:val="00EC00BC"/>
    <w:rsid w:val="00EC02CD"/>
    <w:rsid w:val="00EC1B2A"/>
    <w:rsid w:val="00EC1DBD"/>
    <w:rsid w:val="00EC1F11"/>
    <w:rsid w:val="00EC1FB3"/>
    <w:rsid w:val="00EC24CD"/>
    <w:rsid w:val="00EC2C84"/>
    <w:rsid w:val="00EC2D31"/>
    <w:rsid w:val="00EC3178"/>
    <w:rsid w:val="00EC3586"/>
    <w:rsid w:val="00EC3AE8"/>
    <w:rsid w:val="00EC44EF"/>
    <w:rsid w:val="00EC4DAD"/>
    <w:rsid w:val="00EC5348"/>
    <w:rsid w:val="00EC55E8"/>
    <w:rsid w:val="00EC5A7B"/>
    <w:rsid w:val="00EC63A2"/>
    <w:rsid w:val="00EC655C"/>
    <w:rsid w:val="00EC67D4"/>
    <w:rsid w:val="00EC6AD6"/>
    <w:rsid w:val="00EC7116"/>
    <w:rsid w:val="00EC72DB"/>
    <w:rsid w:val="00EC7756"/>
    <w:rsid w:val="00EC7AE2"/>
    <w:rsid w:val="00ED0648"/>
    <w:rsid w:val="00ED0A4E"/>
    <w:rsid w:val="00ED0DEE"/>
    <w:rsid w:val="00ED1557"/>
    <w:rsid w:val="00ED186E"/>
    <w:rsid w:val="00ED193F"/>
    <w:rsid w:val="00ED1EED"/>
    <w:rsid w:val="00ED2B1C"/>
    <w:rsid w:val="00ED3A42"/>
    <w:rsid w:val="00ED3AD2"/>
    <w:rsid w:val="00ED3CFD"/>
    <w:rsid w:val="00ED3DF2"/>
    <w:rsid w:val="00ED3E4A"/>
    <w:rsid w:val="00ED4383"/>
    <w:rsid w:val="00ED44AA"/>
    <w:rsid w:val="00ED44D3"/>
    <w:rsid w:val="00ED4C6D"/>
    <w:rsid w:val="00ED50E5"/>
    <w:rsid w:val="00ED517E"/>
    <w:rsid w:val="00ED5F8B"/>
    <w:rsid w:val="00ED727F"/>
    <w:rsid w:val="00ED74CA"/>
    <w:rsid w:val="00ED7BE1"/>
    <w:rsid w:val="00ED7F44"/>
    <w:rsid w:val="00EE0605"/>
    <w:rsid w:val="00EE0749"/>
    <w:rsid w:val="00EE212E"/>
    <w:rsid w:val="00EE2C47"/>
    <w:rsid w:val="00EE3782"/>
    <w:rsid w:val="00EE3F13"/>
    <w:rsid w:val="00EE48A7"/>
    <w:rsid w:val="00EE4F23"/>
    <w:rsid w:val="00EE4F45"/>
    <w:rsid w:val="00EE58A1"/>
    <w:rsid w:val="00EE6BD0"/>
    <w:rsid w:val="00EE78AF"/>
    <w:rsid w:val="00EF04DF"/>
    <w:rsid w:val="00EF09F6"/>
    <w:rsid w:val="00EF0A67"/>
    <w:rsid w:val="00EF1A67"/>
    <w:rsid w:val="00EF2047"/>
    <w:rsid w:val="00EF25A6"/>
    <w:rsid w:val="00EF2664"/>
    <w:rsid w:val="00EF2A63"/>
    <w:rsid w:val="00EF2D36"/>
    <w:rsid w:val="00EF34A2"/>
    <w:rsid w:val="00EF3756"/>
    <w:rsid w:val="00EF3A46"/>
    <w:rsid w:val="00EF407F"/>
    <w:rsid w:val="00EF421C"/>
    <w:rsid w:val="00EF4324"/>
    <w:rsid w:val="00EF4361"/>
    <w:rsid w:val="00EF440F"/>
    <w:rsid w:val="00EF4CE7"/>
    <w:rsid w:val="00EF56DB"/>
    <w:rsid w:val="00EF570D"/>
    <w:rsid w:val="00EF5A08"/>
    <w:rsid w:val="00EF5C96"/>
    <w:rsid w:val="00EF650F"/>
    <w:rsid w:val="00EF68A8"/>
    <w:rsid w:val="00EF73E8"/>
    <w:rsid w:val="00EF78A0"/>
    <w:rsid w:val="00EF78B2"/>
    <w:rsid w:val="00EF7DBB"/>
    <w:rsid w:val="00EF7F15"/>
    <w:rsid w:val="00F004DB"/>
    <w:rsid w:val="00F005B5"/>
    <w:rsid w:val="00F010BD"/>
    <w:rsid w:val="00F01998"/>
    <w:rsid w:val="00F02349"/>
    <w:rsid w:val="00F026CC"/>
    <w:rsid w:val="00F0271D"/>
    <w:rsid w:val="00F02A81"/>
    <w:rsid w:val="00F02B38"/>
    <w:rsid w:val="00F02BA8"/>
    <w:rsid w:val="00F03317"/>
    <w:rsid w:val="00F03CEB"/>
    <w:rsid w:val="00F052EA"/>
    <w:rsid w:val="00F0551D"/>
    <w:rsid w:val="00F06F55"/>
    <w:rsid w:val="00F06FC4"/>
    <w:rsid w:val="00F070C0"/>
    <w:rsid w:val="00F07DE0"/>
    <w:rsid w:val="00F101F4"/>
    <w:rsid w:val="00F108C2"/>
    <w:rsid w:val="00F109AA"/>
    <w:rsid w:val="00F10A3B"/>
    <w:rsid w:val="00F11012"/>
    <w:rsid w:val="00F12267"/>
    <w:rsid w:val="00F12BB9"/>
    <w:rsid w:val="00F12C4C"/>
    <w:rsid w:val="00F130B4"/>
    <w:rsid w:val="00F13202"/>
    <w:rsid w:val="00F1397D"/>
    <w:rsid w:val="00F13E46"/>
    <w:rsid w:val="00F142EC"/>
    <w:rsid w:val="00F14649"/>
    <w:rsid w:val="00F14804"/>
    <w:rsid w:val="00F150C4"/>
    <w:rsid w:val="00F15430"/>
    <w:rsid w:val="00F15610"/>
    <w:rsid w:val="00F15709"/>
    <w:rsid w:val="00F1588E"/>
    <w:rsid w:val="00F15A3C"/>
    <w:rsid w:val="00F15C79"/>
    <w:rsid w:val="00F15FF7"/>
    <w:rsid w:val="00F16182"/>
    <w:rsid w:val="00F1673F"/>
    <w:rsid w:val="00F168EF"/>
    <w:rsid w:val="00F16B9F"/>
    <w:rsid w:val="00F16E0C"/>
    <w:rsid w:val="00F16F01"/>
    <w:rsid w:val="00F17440"/>
    <w:rsid w:val="00F177F8"/>
    <w:rsid w:val="00F17B50"/>
    <w:rsid w:val="00F20F9A"/>
    <w:rsid w:val="00F21341"/>
    <w:rsid w:val="00F215A7"/>
    <w:rsid w:val="00F22555"/>
    <w:rsid w:val="00F22FF9"/>
    <w:rsid w:val="00F23285"/>
    <w:rsid w:val="00F232D6"/>
    <w:rsid w:val="00F2417C"/>
    <w:rsid w:val="00F24741"/>
    <w:rsid w:val="00F24745"/>
    <w:rsid w:val="00F24E80"/>
    <w:rsid w:val="00F250D5"/>
    <w:rsid w:val="00F25358"/>
    <w:rsid w:val="00F2640F"/>
    <w:rsid w:val="00F26474"/>
    <w:rsid w:val="00F26B21"/>
    <w:rsid w:val="00F27E29"/>
    <w:rsid w:val="00F30095"/>
    <w:rsid w:val="00F3073C"/>
    <w:rsid w:val="00F31653"/>
    <w:rsid w:val="00F31DD4"/>
    <w:rsid w:val="00F324E3"/>
    <w:rsid w:val="00F3327E"/>
    <w:rsid w:val="00F336CA"/>
    <w:rsid w:val="00F3385C"/>
    <w:rsid w:val="00F3395D"/>
    <w:rsid w:val="00F34084"/>
    <w:rsid w:val="00F340F8"/>
    <w:rsid w:val="00F34E3E"/>
    <w:rsid w:val="00F34FAF"/>
    <w:rsid w:val="00F351BB"/>
    <w:rsid w:val="00F3596A"/>
    <w:rsid w:val="00F36B1D"/>
    <w:rsid w:val="00F370E3"/>
    <w:rsid w:val="00F3734F"/>
    <w:rsid w:val="00F376FE"/>
    <w:rsid w:val="00F40047"/>
    <w:rsid w:val="00F4031D"/>
    <w:rsid w:val="00F4099D"/>
    <w:rsid w:val="00F4103B"/>
    <w:rsid w:val="00F41933"/>
    <w:rsid w:val="00F4197E"/>
    <w:rsid w:val="00F41EEC"/>
    <w:rsid w:val="00F427FB"/>
    <w:rsid w:val="00F43308"/>
    <w:rsid w:val="00F43B85"/>
    <w:rsid w:val="00F43D42"/>
    <w:rsid w:val="00F44200"/>
    <w:rsid w:val="00F44FA7"/>
    <w:rsid w:val="00F44FB2"/>
    <w:rsid w:val="00F45293"/>
    <w:rsid w:val="00F456F9"/>
    <w:rsid w:val="00F45ACE"/>
    <w:rsid w:val="00F45C32"/>
    <w:rsid w:val="00F47148"/>
    <w:rsid w:val="00F47233"/>
    <w:rsid w:val="00F47D11"/>
    <w:rsid w:val="00F50196"/>
    <w:rsid w:val="00F505AC"/>
    <w:rsid w:val="00F50C64"/>
    <w:rsid w:val="00F51B91"/>
    <w:rsid w:val="00F51F01"/>
    <w:rsid w:val="00F523F5"/>
    <w:rsid w:val="00F525C1"/>
    <w:rsid w:val="00F52E36"/>
    <w:rsid w:val="00F52F4F"/>
    <w:rsid w:val="00F5308D"/>
    <w:rsid w:val="00F53132"/>
    <w:rsid w:val="00F53AF9"/>
    <w:rsid w:val="00F54899"/>
    <w:rsid w:val="00F549C7"/>
    <w:rsid w:val="00F550A0"/>
    <w:rsid w:val="00F553EF"/>
    <w:rsid w:val="00F55582"/>
    <w:rsid w:val="00F55B60"/>
    <w:rsid w:val="00F55BB1"/>
    <w:rsid w:val="00F55E9A"/>
    <w:rsid w:val="00F56AFD"/>
    <w:rsid w:val="00F570ED"/>
    <w:rsid w:val="00F57C0E"/>
    <w:rsid w:val="00F6061E"/>
    <w:rsid w:val="00F60F22"/>
    <w:rsid w:val="00F610FC"/>
    <w:rsid w:val="00F6157B"/>
    <w:rsid w:val="00F62903"/>
    <w:rsid w:val="00F62A6E"/>
    <w:rsid w:val="00F62AD2"/>
    <w:rsid w:val="00F63255"/>
    <w:rsid w:val="00F632DA"/>
    <w:rsid w:val="00F63318"/>
    <w:rsid w:val="00F6335B"/>
    <w:rsid w:val="00F63CB3"/>
    <w:rsid w:val="00F645D6"/>
    <w:rsid w:val="00F65499"/>
    <w:rsid w:val="00F6653D"/>
    <w:rsid w:val="00F66B83"/>
    <w:rsid w:val="00F66C4A"/>
    <w:rsid w:val="00F66D26"/>
    <w:rsid w:val="00F67C56"/>
    <w:rsid w:val="00F67D7F"/>
    <w:rsid w:val="00F70114"/>
    <w:rsid w:val="00F70AAB"/>
    <w:rsid w:val="00F70C6B"/>
    <w:rsid w:val="00F71A0C"/>
    <w:rsid w:val="00F72087"/>
    <w:rsid w:val="00F72119"/>
    <w:rsid w:val="00F727BF"/>
    <w:rsid w:val="00F73257"/>
    <w:rsid w:val="00F7361C"/>
    <w:rsid w:val="00F73A79"/>
    <w:rsid w:val="00F73F62"/>
    <w:rsid w:val="00F75D67"/>
    <w:rsid w:val="00F75E7A"/>
    <w:rsid w:val="00F76B6A"/>
    <w:rsid w:val="00F76F6D"/>
    <w:rsid w:val="00F8035B"/>
    <w:rsid w:val="00F8130E"/>
    <w:rsid w:val="00F81BFD"/>
    <w:rsid w:val="00F82904"/>
    <w:rsid w:val="00F82A94"/>
    <w:rsid w:val="00F82DEA"/>
    <w:rsid w:val="00F831BC"/>
    <w:rsid w:val="00F837E9"/>
    <w:rsid w:val="00F83896"/>
    <w:rsid w:val="00F83BED"/>
    <w:rsid w:val="00F83F5B"/>
    <w:rsid w:val="00F84493"/>
    <w:rsid w:val="00F8598B"/>
    <w:rsid w:val="00F85C58"/>
    <w:rsid w:val="00F85CB7"/>
    <w:rsid w:val="00F86AC1"/>
    <w:rsid w:val="00F876C4"/>
    <w:rsid w:val="00F879D8"/>
    <w:rsid w:val="00F87A9E"/>
    <w:rsid w:val="00F87D74"/>
    <w:rsid w:val="00F9015C"/>
    <w:rsid w:val="00F9064D"/>
    <w:rsid w:val="00F906D4"/>
    <w:rsid w:val="00F907F4"/>
    <w:rsid w:val="00F91605"/>
    <w:rsid w:val="00F91885"/>
    <w:rsid w:val="00F91E66"/>
    <w:rsid w:val="00F92059"/>
    <w:rsid w:val="00F927E5"/>
    <w:rsid w:val="00F92EC0"/>
    <w:rsid w:val="00F930A3"/>
    <w:rsid w:val="00F93103"/>
    <w:rsid w:val="00F93AA9"/>
    <w:rsid w:val="00F93E23"/>
    <w:rsid w:val="00F93FDF"/>
    <w:rsid w:val="00F94491"/>
    <w:rsid w:val="00F94529"/>
    <w:rsid w:val="00F94E3C"/>
    <w:rsid w:val="00F94F7E"/>
    <w:rsid w:val="00F9578B"/>
    <w:rsid w:val="00F9646F"/>
    <w:rsid w:val="00F964AC"/>
    <w:rsid w:val="00F9702A"/>
    <w:rsid w:val="00F972A8"/>
    <w:rsid w:val="00F97B39"/>
    <w:rsid w:val="00F97C9F"/>
    <w:rsid w:val="00F97E35"/>
    <w:rsid w:val="00FA01EE"/>
    <w:rsid w:val="00FA0E8E"/>
    <w:rsid w:val="00FA0ED9"/>
    <w:rsid w:val="00FA10C5"/>
    <w:rsid w:val="00FA136D"/>
    <w:rsid w:val="00FA1D2D"/>
    <w:rsid w:val="00FA2CEE"/>
    <w:rsid w:val="00FA3131"/>
    <w:rsid w:val="00FA3FB5"/>
    <w:rsid w:val="00FA3FF5"/>
    <w:rsid w:val="00FA4B4F"/>
    <w:rsid w:val="00FA516B"/>
    <w:rsid w:val="00FA536B"/>
    <w:rsid w:val="00FA55C2"/>
    <w:rsid w:val="00FA5BAA"/>
    <w:rsid w:val="00FA6957"/>
    <w:rsid w:val="00FA72DC"/>
    <w:rsid w:val="00FA7A57"/>
    <w:rsid w:val="00FA7E45"/>
    <w:rsid w:val="00FA7E73"/>
    <w:rsid w:val="00FB0847"/>
    <w:rsid w:val="00FB0D07"/>
    <w:rsid w:val="00FB1576"/>
    <w:rsid w:val="00FB1684"/>
    <w:rsid w:val="00FB2A5F"/>
    <w:rsid w:val="00FB2BBB"/>
    <w:rsid w:val="00FB3DD2"/>
    <w:rsid w:val="00FB454B"/>
    <w:rsid w:val="00FB4B99"/>
    <w:rsid w:val="00FB4CBE"/>
    <w:rsid w:val="00FB4D76"/>
    <w:rsid w:val="00FB57B0"/>
    <w:rsid w:val="00FB597D"/>
    <w:rsid w:val="00FB5CCC"/>
    <w:rsid w:val="00FB70A4"/>
    <w:rsid w:val="00FB7967"/>
    <w:rsid w:val="00FC03C3"/>
    <w:rsid w:val="00FC0786"/>
    <w:rsid w:val="00FC0FC5"/>
    <w:rsid w:val="00FC12F7"/>
    <w:rsid w:val="00FC155C"/>
    <w:rsid w:val="00FC17B4"/>
    <w:rsid w:val="00FC17C1"/>
    <w:rsid w:val="00FC1C52"/>
    <w:rsid w:val="00FC24DD"/>
    <w:rsid w:val="00FC2677"/>
    <w:rsid w:val="00FC2759"/>
    <w:rsid w:val="00FC294B"/>
    <w:rsid w:val="00FC2DBD"/>
    <w:rsid w:val="00FC2FE5"/>
    <w:rsid w:val="00FC335B"/>
    <w:rsid w:val="00FC36BA"/>
    <w:rsid w:val="00FC3778"/>
    <w:rsid w:val="00FC3CAE"/>
    <w:rsid w:val="00FC41B6"/>
    <w:rsid w:val="00FC4324"/>
    <w:rsid w:val="00FC4360"/>
    <w:rsid w:val="00FC505C"/>
    <w:rsid w:val="00FC512F"/>
    <w:rsid w:val="00FC71A9"/>
    <w:rsid w:val="00FC7484"/>
    <w:rsid w:val="00FD092C"/>
    <w:rsid w:val="00FD0ACA"/>
    <w:rsid w:val="00FD0B44"/>
    <w:rsid w:val="00FD0EBA"/>
    <w:rsid w:val="00FD16FA"/>
    <w:rsid w:val="00FD219C"/>
    <w:rsid w:val="00FD2EC0"/>
    <w:rsid w:val="00FD354E"/>
    <w:rsid w:val="00FD4784"/>
    <w:rsid w:val="00FD5171"/>
    <w:rsid w:val="00FD53D8"/>
    <w:rsid w:val="00FD6409"/>
    <w:rsid w:val="00FD670D"/>
    <w:rsid w:val="00FD696C"/>
    <w:rsid w:val="00FD69AE"/>
    <w:rsid w:val="00FD6E31"/>
    <w:rsid w:val="00FD77B0"/>
    <w:rsid w:val="00FD7919"/>
    <w:rsid w:val="00FE0403"/>
    <w:rsid w:val="00FE0C27"/>
    <w:rsid w:val="00FE0EB5"/>
    <w:rsid w:val="00FE0EEE"/>
    <w:rsid w:val="00FE1342"/>
    <w:rsid w:val="00FE141D"/>
    <w:rsid w:val="00FE14A9"/>
    <w:rsid w:val="00FE1783"/>
    <w:rsid w:val="00FE1E54"/>
    <w:rsid w:val="00FE1F4D"/>
    <w:rsid w:val="00FE23EC"/>
    <w:rsid w:val="00FE2739"/>
    <w:rsid w:val="00FE29FE"/>
    <w:rsid w:val="00FE33EF"/>
    <w:rsid w:val="00FE36BD"/>
    <w:rsid w:val="00FE398D"/>
    <w:rsid w:val="00FE3F62"/>
    <w:rsid w:val="00FE3FD7"/>
    <w:rsid w:val="00FE4117"/>
    <w:rsid w:val="00FE4A40"/>
    <w:rsid w:val="00FE4D00"/>
    <w:rsid w:val="00FE5426"/>
    <w:rsid w:val="00FE548D"/>
    <w:rsid w:val="00FE5932"/>
    <w:rsid w:val="00FE5CE4"/>
    <w:rsid w:val="00FE5EBA"/>
    <w:rsid w:val="00FE6F93"/>
    <w:rsid w:val="00FE707F"/>
    <w:rsid w:val="00FF0874"/>
    <w:rsid w:val="00FF096D"/>
    <w:rsid w:val="00FF0B65"/>
    <w:rsid w:val="00FF1032"/>
    <w:rsid w:val="00FF113D"/>
    <w:rsid w:val="00FF1257"/>
    <w:rsid w:val="00FF187B"/>
    <w:rsid w:val="00FF1998"/>
    <w:rsid w:val="00FF2491"/>
    <w:rsid w:val="00FF2754"/>
    <w:rsid w:val="00FF2B3C"/>
    <w:rsid w:val="00FF4005"/>
    <w:rsid w:val="00FF4C67"/>
    <w:rsid w:val="00FF514E"/>
    <w:rsid w:val="00FF5F48"/>
    <w:rsid w:val="00FF6F99"/>
    <w:rsid w:val="00FF71F8"/>
    <w:rsid w:val="00FF7457"/>
    <w:rsid w:val="00FF74FE"/>
    <w:rsid w:val="01D2508C"/>
    <w:rsid w:val="043C27B3"/>
    <w:rsid w:val="05984D8C"/>
    <w:rsid w:val="06F82ABC"/>
    <w:rsid w:val="070A0E42"/>
    <w:rsid w:val="072A84BE"/>
    <w:rsid w:val="0A05DC12"/>
    <w:rsid w:val="0B0BAE83"/>
    <w:rsid w:val="0DCEC5F2"/>
    <w:rsid w:val="11259345"/>
    <w:rsid w:val="1265AFDA"/>
    <w:rsid w:val="136F04A0"/>
    <w:rsid w:val="14F0A795"/>
    <w:rsid w:val="18E9FF34"/>
    <w:rsid w:val="1AC02E43"/>
    <w:rsid w:val="1B317E63"/>
    <w:rsid w:val="1BF2E303"/>
    <w:rsid w:val="1C21BE54"/>
    <w:rsid w:val="1D0940CC"/>
    <w:rsid w:val="1E399451"/>
    <w:rsid w:val="1F6DFE97"/>
    <w:rsid w:val="1FB09ADD"/>
    <w:rsid w:val="21866D96"/>
    <w:rsid w:val="2236C298"/>
    <w:rsid w:val="228950F6"/>
    <w:rsid w:val="23B1579C"/>
    <w:rsid w:val="246EE6D2"/>
    <w:rsid w:val="2722CD89"/>
    <w:rsid w:val="27DD4910"/>
    <w:rsid w:val="283D8C59"/>
    <w:rsid w:val="29CF6C7E"/>
    <w:rsid w:val="29D6E56C"/>
    <w:rsid w:val="2B49513A"/>
    <w:rsid w:val="2BEC8935"/>
    <w:rsid w:val="2D80A2B8"/>
    <w:rsid w:val="31AF1235"/>
    <w:rsid w:val="32044F35"/>
    <w:rsid w:val="33ACB8E9"/>
    <w:rsid w:val="33D949EE"/>
    <w:rsid w:val="341F9D81"/>
    <w:rsid w:val="34BA5DA8"/>
    <w:rsid w:val="3BB90156"/>
    <w:rsid w:val="3C73C50C"/>
    <w:rsid w:val="42252EB4"/>
    <w:rsid w:val="426B60D4"/>
    <w:rsid w:val="45089EAA"/>
    <w:rsid w:val="468A931B"/>
    <w:rsid w:val="47110D3B"/>
    <w:rsid w:val="471E2DE1"/>
    <w:rsid w:val="47576107"/>
    <w:rsid w:val="4849B87C"/>
    <w:rsid w:val="4AABA752"/>
    <w:rsid w:val="4F21BFD9"/>
    <w:rsid w:val="513A99FA"/>
    <w:rsid w:val="51CC1EEB"/>
    <w:rsid w:val="5323F37D"/>
    <w:rsid w:val="56D74A3E"/>
    <w:rsid w:val="58A09233"/>
    <w:rsid w:val="590B728F"/>
    <w:rsid w:val="5C1BEACD"/>
    <w:rsid w:val="5D9A7DB3"/>
    <w:rsid w:val="5FF996CC"/>
    <w:rsid w:val="60B3C6BE"/>
    <w:rsid w:val="61699361"/>
    <w:rsid w:val="6AB3D728"/>
    <w:rsid w:val="6CB37E82"/>
    <w:rsid w:val="6F001120"/>
    <w:rsid w:val="6F4A81CD"/>
    <w:rsid w:val="6FEC9C83"/>
    <w:rsid w:val="7165B554"/>
    <w:rsid w:val="727E6974"/>
    <w:rsid w:val="747599A5"/>
    <w:rsid w:val="75637D6E"/>
    <w:rsid w:val="75759B94"/>
    <w:rsid w:val="758ABB86"/>
    <w:rsid w:val="75B4E743"/>
    <w:rsid w:val="77DD1541"/>
    <w:rsid w:val="7B560987"/>
    <w:rsid w:val="7D3D03C8"/>
    <w:rsid w:val="7EFD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F466A88"/>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131"/>
    <w:pPr>
      <w:spacing w:before="100" w:after="100" w:line="312" w:lineRule="auto"/>
    </w:pPr>
    <w:rPr>
      <w:rFonts w:ascii="Georgia" w:hAnsi="Georgia"/>
      <w:sz w:val="18"/>
    </w:rPr>
  </w:style>
  <w:style w:type="paragraph" w:styleId="Heading1">
    <w:name w:val="heading 1"/>
    <w:basedOn w:val="Normal"/>
    <w:next w:val="Body"/>
    <w:link w:val="Heading1Char"/>
    <w:uiPriority w:val="9"/>
    <w:qFormat/>
    <w:rsid w:val="00A866BA"/>
    <w:pPr>
      <w:keepNext/>
      <w:keepLines/>
      <w:pageBreakBefore/>
      <w:numPr>
        <w:numId w:val="42"/>
      </w:numPr>
      <w:tabs>
        <w:tab w:val="left" w:pos="990"/>
      </w:tabs>
      <w:spacing w:before="0" w:after="240" w:line="240" w:lineRule="auto"/>
      <w:ind w:left="1008" w:hanging="1008"/>
      <w:outlineLvl w:val="0"/>
    </w:pPr>
    <w:rPr>
      <w:rFonts w:ascii="Calibri" w:eastAsia="Times New Roman" w:hAnsi="Calibri" w:cstheme="majorBidi"/>
      <w:b/>
      <w:bCs/>
      <w:kern w:val="32"/>
      <w:sz w:val="48"/>
      <w:szCs w:val="28"/>
    </w:rPr>
  </w:style>
  <w:style w:type="paragraph" w:styleId="Heading2">
    <w:name w:val="heading 2"/>
    <w:basedOn w:val="Normal"/>
    <w:next w:val="Body"/>
    <w:link w:val="Heading2Char"/>
    <w:uiPriority w:val="9"/>
    <w:unhideWhenUsed/>
    <w:qFormat/>
    <w:rsid w:val="00A13BE9"/>
    <w:pPr>
      <w:keepNext/>
      <w:keepLines/>
      <w:numPr>
        <w:ilvl w:val="1"/>
        <w:numId w:val="42"/>
      </w:numPr>
      <w:tabs>
        <w:tab w:val="left" w:pos="720"/>
      </w:tabs>
      <w:spacing w:before="360" w:after="120" w:line="240" w:lineRule="auto"/>
      <w:ind w:left="720" w:hanging="720"/>
      <w:outlineLvl w:val="1"/>
    </w:pPr>
    <w:rPr>
      <w:rFonts w:ascii="Calibri" w:eastAsiaTheme="majorEastAsia" w:hAnsi="Calibri" w:cstheme="majorBidi"/>
      <w:b/>
      <w:bCs/>
      <w:color w:val="000000" w:themeColor="text1"/>
      <w:sz w:val="32"/>
      <w:szCs w:val="26"/>
      <w:lang w:val="en-CA" w:eastAsia="en-CA"/>
    </w:rPr>
  </w:style>
  <w:style w:type="paragraph" w:styleId="Heading3">
    <w:name w:val="heading 3"/>
    <w:basedOn w:val="Normal"/>
    <w:next w:val="Body"/>
    <w:link w:val="Heading3Char"/>
    <w:uiPriority w:val="9"/>
    <w:unhideWhenUsed/>
    <w:qFormat/>
    <w:rsid w:val="00AD2B51"/>
    <w:pPr>
      <w:keepNext/>
      <w:keepLines/>
      <w:numPr>
        <w:ilvl w:val="2"/>
        <w:numId w:val="42"/>
      </w:numPr>
      <w:tabs>
        <w:tab w:val="left" w:pos="720"/>
      </w:tabs>
      <w:spacing w:before="300" w:after="120" w:line="264" w:lineRule="auto"/>
      <w:ind w:left="720" w:hanging="720"/>
      <w:outlineLvl w:val="2"/>
    </w:pPr>
    <w:rPr>
      <w:rFonts w:ascii="Calibri" w:eastAsiaTheme="majorEastAsia" w:hAnsi="Calibri" w:cstheme="majorBidi"/>
      <w:b/>
      <w:bCs/>
      <w:color w:val="000000" w:themeColor="text1"/>
      <w:sz w:val="24"/>
      <w:lang w:val="en-CA" w:eastAsia="en-CA"/>
    </w:rPr>
  </w:style>
  <w:style w:type="paragraph" w:styleId="Heading4">
    <w:name w:val="heading 4"/>
    <w:basedOn w:val="Normal"/>
    <w:next w:val="Body"/>
    <w:link w:val="Heading4Char"/>
    <w:uiPriority w:val="9"/>
    <w:unhideWhenUsed/>
    <w:qFormat/>
    <w:rsid w:val="0014429E"/>
    <w:pPr>
      <w:keepNext/>
      <w:keepLines/>
      <w:spacing w:before="180" w:after="80" w:line="264" w:lineRule="auto"/>
      <w:outlineLvl w:val="3"/>
    </w:pPr>
    <w:rPr>
      <w:rFonts w:ascii="Tw Cen MT Condensed" w:eastAsiaTheme="majorEastAsia" w:hAnsi="Tw Cen MT Condensed" w:cstheme="majorBidi"/>
      <w:b/>
      <w:bCs/>
      <w:iCs/>
      <w:color w:val="000000" w:themeColor="text1"/>
      <w:sz w:val="26"/>
    </w:rPr>
  </w:style>
  <w:style w:type="paragraph" w:styleId="Heading5">
    <w:name w:val="heading 5"/>
    <w:basedOn w:val="Normal"/>
    <w:next w:val="Body"/>
    <w:link w:val="Heading5Char"/>
    <w:uiPriority w:val="9"/>
    <w:unhideWhenUsed/>
    <w:qFormat/>
    <w:rsid w:val="00AD7C54"/>
    <w:pPr>
      <w:keepNext/>
      <w:keepLines/>
      <w:spacing w:before="240" w:after="0"/>
      <w:outlineLvl w:val="4"/>
    </w:pPr>
    <w:rPr>
      <w:rFonts w:ascii="Calibri Light" w:eastAsiaTheme="majorEastAsia" w:hAnsi="Calibri Light" w:cstheme="majorBidi"/>
      <w:b/>
      <w:color w:val="595959"/>
      <w:sz w:val="20"/>
      <w:u w:val="single"/>
    </w:rPr>
  </w:style>
  <w:style w:type="paragraph" w:styleId="Heading6">
    <w:name w:val="heading 6"/>
    <w:basedOn w:val="Normal"/>
    <w:next w:val="Body"/>
    <w:link w:val="Heading6Char"/>
    <w:uiPriority w:val="9"/>
    <w:unhideWhenUsed/>
    <w:qFormat/>
    <w:rsid w:val="00AF163B"/>
    <w:pPr>
      <w:keepNext/>
      <w:keepLines/>
      <w:spacing w:before="240" w:line="264" w:lineRule="auto"/>
      <w:outlineLvl w:val="5"/>
    </w:pPr>
    <w:rPr>
      <w:rFonts w:ascii="Calibri Light" w:eastAsiaTheme="majorEastAsia" w:hAnsi="Calibri Light" w:cstheme="majorBidi"/>
      <w:b/>
      <w:i/>
      <w:iCs/>
      <w:color w:val="595959"/>
      <w:sz w:val="20"/>
      <w:szCs w:val="21"/>
    </w:rPr>
  </w:style>
  <w:style w:type="paragraph" w:styleId="Heading7">
    <w:name w:val="heading 7"/>
    <w:basedOn w:val="Normal"/>
    <w:next w:val="Normal"/>
    <w:link w:val="Heading7Char"/>
    <w:uiPriority w:val="9"/>
    <w:unhideWhenUsed/>
    <w:qFormat/>
    <w:rsid w:val="00502DBA"/>
    <w:pPr>
      <w:keepNext/>
      <w:keepLines/>
      <w:tabs>
        <w:tab w:val="num" w:pos="1296"/>
      </w:tabs>
      <w:spacing w:before="200" w:after="0" w:line="240" w:lineRule="auto"/>
      <w:ind w:left="1296" w:hanging="288"/>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unhideWhenUsed/>
    <w:qFormat/>
    <w:rsid w:val="00502DBA"/>
    <w:pPr>
      <w:keepNext/>
      <w:keepLines/>
      <w:tabs>
        <w:tab w:val="num" w:pos="1440"/>
      </w:tabs>
      <w:spacing w:before="200" w:after="0" w:line="240" w:lineRule="auto"/>
      <w:ind w:left="1440" w:hanging="432"/>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D0F7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7EC7"/>
    <w:pPr>
      <w:spacing w:before="600" w:after="0" w:line="180" w:lineRule="auto"/>
    </w:pPr>
    <w:rPr>
      <w:rFonts w:ascii="Calibri" w:eastAsiaTheme="majorEastAsia" w:hAnsi="Calibri" w:cs="Calibri"/>
      <w:color w:val="000000" w:themeColor="text1"/>
      <w:spacing w:val="5"/>
      <w:kern w:val="28"/>
      <w:sz w:val="96"/>
      <w:szCs w:val="96"/>
    </w:rPr>
  </w:style>
  <w:style w:type="character" w:customStyle="1" w:styleId="TitleChar">
    <w:name w:val="Title Char"/>
    <w:basedOn w:val="DefaultParagraphFont"/>
    <w:link w:val="Title"/>
    <w:uiPriority w:val="10"/>
    <w:rsid w:val="00A87EC7"/>
    <w:rPr>
      <w:rFonts w:ascii="Calibri" w:eastAsiaTheme="majorEastAsia" w:hAnsi="Calibri" w:cs="Calibri"/>
      <w:color w:val="000000" w:themeColor="text1"/>
      <w:spacing w:val="5"/>
      <w:kern w:val="28"/>
      <w:sz w:val="96"/>
      <w:szCs w:val="96"/>
    </w:rPr>
  </w:style>
  <w:style w:type="paragraph" w:styleId="NormalWeb">
    <w:name w:val="Normal (Web)"/>
    <w:basedOn w:val="Normal"/>
    <w:uiPriority w:val="99"/>
    <w:unhideWhenUsed/>
    <w:rsid w:val="005D0F71"/>
    <w:pPr>
      <w:spacing w:beforeAutospacing="1" w:afterAutospacing="1" w:line="240" w:lineRule="auto"/>
    </w:pPr>
    <w:rPr>
      <w:rFonts w:eastAsia="Times New Roman" w:cs="Times New Roman"/>
      <w:sz w:val="24"/>
      <w:szCs w:val="24"/>
    </w:rPr>
  </w:style>
  <w:style w:type="paragraph" w:styleId="NoSpacing">
    <w:name w:val="No Spacing"/>
    <w:link w:val="NoSpacingChar"/>
    <w:uiPriority w:val="1"/>
    <w:qFormat/>
    <w:rsid w:val="00994BED"/>
    <w:pPr>
      <w:spacing w:after="0" w:line="240" w:lineRule="auto"/>
    </w:pPr>
    <w:rPr>
      <w:rFonts w:ascii="Georgia" w:hAnsi="Georgia"/>
      <w:sz w:val="18"/>
    </w:rPr>
  </w:style>
  <w:style w:type="character" w:customStyle="1" w:styleId="Heading1Char">
    <w:name w:val="Heading 1 Char"/>
    <w:basedOn w:val="DefaultParagraphFont"/>
    <w:link w:val="Heading1"/>
    <w:uiPriority w:val="9"/>
    <w:rsid w:val="00A866BA"/>
    <w:rPr>
      <w:rFonts w:ascii="Calibri" w:eastAsia="Times New Roman" w:hAnsi="Calibri" w:cstheme="majorBidi"/>
      <w:b/>
      <w:bCs/>
      <w:kern w:val="32"/>
      <w:sz w:val="48"/>
      <w:szCs w:val="28"/>
    </w:rPr>
  </w:style>
  <w:style w:type="character" w:customStyle="1" w:styleId="Heading2Char">
    <w:name w:val="Heading 2 Char"/>
    <w:basedOn w:val="DefaultParagraphFont"/>
    <w:link w:val="Heading2"/>
    <w:uiPriority w:val="9"/>
    <w:rsid w:val="00A13BE9"/>
    <w:rPr>
      <w:rFonts w:ascii="Calibri" w:eastAsiaTheme="majorEastAsia" w:hAnsi="Calibri" w:cstheme="majorBidi"/>
      <w:b/>
      <w:bCs/>
      <w:color w:val="000000" w:themeColor="text1"/>
      <w:sz w:val="32"/>
      <w:szCs w:val="26"/>
      <w:lang w:val="en-CA" w:eastAsia="en-CA"/>
    </w:rPr>
  </w:style>
  <w:style w:type="character" w:customStyle="1" w:styleId="Heading3Char">
    <w:name w:val="Heading 3 Char"/>
    <w:basedOn w:val="DefaultParagraphFont"/>
    <w:link w:val="Heading3"/>
    <w:uiPriority w:val="9"/>
    <w:rsid w:val="00AD2B51"/>
    <w:rPr>
      <w:rFonts w:ascii="Calibri" w:eastAsiaTheme="majorEastAsia" w:hAnsi="Calibri" w:cstheme="majorBidi"/>
      <w:b/>
      <w:bCs/>
      <w:color w:val="000000" w:themeColor="text1"/>
      <w:sz w:val="24"/>
      <w:lang w:val="en-CA" w:eastAsia="en-CA"/>
    </w:rPr>
  </w:style>
  <w:style w:type="character" w:styleId="Emphasis">
    <w:name w:val="Emphasis"/>
    <w:basedOn w:val="DefaultParagraphFont"/>
    <w:uiPriority w:val="20"/>
    <w:qFormat/>
    <w:rsid w:val="00EC02CD"/>
    <w:rPr>
      <w:b w:val="0"/>
      <w:i/>
      <w:iCs/>
      <w:color w:val="404040" w:themeColor="text1" w:themeTint="BF"/>
    </w:rPr>
  </w:style>
  <w:style w:type="character" w:customStyle="1" w:styleId="Heading4Char">
    <w:name w:val="Heading 4 Char"/>
    <w:basedOn w:val="DefaultParagraphFont"/>
    <w:link w:val="Heading4"/>
    <w:uiPriority w:val="9"/>
    <w:rsid w:val="0014429E"/>
    <w:rPr>
      <w:rFonts w:ascii="Tw Cen MT Condensed" w:eastAsiaTheme="majorEastAsia" w:hAnsi="Tw Cen MT Condensed" w:cstheme="majorBidi"/>
      <w:b/>
      <w:bCs/>
      <w:iCs/>
      <w:color w:val="000000" w:themeColor="text1"/>
      <w:sz w:val="26"/>
    </w:rPr>
  </w:style>
  <w:style w:type="paragraph" w:styleId="TOC2">
    <w:name w:val="toc 2"/>
    <w:basedOn w:val="Normal"/>
    <w:next w:val="Normal"/>
    <w:uiPriority w:val="39"/>
    <w:unhideWhenUsed/>
    <w:qFormat/>
    <w:rsid w:val="001C3FC6"/>
    <w:pPr>
      <w:tabs>
        <w:tab w:val="left" w:pos="1152"/>
        <w:tab w:val="right" w:leader="dot" w:pos="9350"/>
      </w:tabs>
      <w:spacing w:before="120" w:after="60" w:line="240" w:lineRule="auto"/>
      <w:ind w:left="1152" w:hanging="490"/>
    </w:pPr>
    <w:rPr>
      <w:rFonts w:ascii="Calibri" w:eastAsiaTheme="minorEastAsia" w:hAnsi="Calibri"/>
      <w:noProof/>
      <w:sz w:val="23"/>
      <w:lang w:val="en-CA" w:eastAsia="en-CA"/>
    </w:rPr>
  </w:style>
  <w:style w:type="paragraph" w:styleId="TOC1">
    <w:name w:val="toc 1"/>
    <w:basedOn w:val="Normal"/>
    <w:next w:val="Normal"/>
    <w:uiPriority w:val="39"/>
    <w:unhideWhenUsed/>
    <w:qFormat/>
    <w:rsid w:val="001C3FC6"/>
    <w:pPr>
      <w:tabs>
        <w:tab w:val="left" w:pos="648"/>
        <w:tab w:val="right" w:leader="dot" w:pos="9350"/>
      </w:tabs>
      <w:spacing w:before="240" w:line="240" w:lineRule="auto"/>
      <w:ind w:left="648" w:hanging="648"/>
    </w:pPr>
    <w:rPr>
      <w:rFonts w:ascii="Calibri" w:eastAsiaTheme="minorEastAsia" w:hAnsi="Calibri"/>
      <w:b/>
      <w:noProof/>
      <w:sz w:val="26"/>
      <w:lang w:val="en-CA" w:eastAsia="en-CA"/>
    </w:rPr>
  </w:style>
  <w:style w:type="paragraph" w:styleId="TOC3">
    <w:name w:val="toc 3"/>
    <w:basedOn w:val="Normal"/>
    <w:next w:val="Normal"/>
    <w:uiPriority w:val="39"/>
    <w:unhideWhenUsed/>
    <w:qFormat/>
    <w:rsid w:val="00ED3CFD"/>
    <w:pPr>
      <w:tabs>
        <w:tab w:val="left" w:pos="1800"/>
        <w:tab w:val="right" w:leader="dot" w:pos="9350"/>
      </w:tabs>
      <w:spacing w:before="60" w:line="240" w:lineRule="auto"/>
      <w:ind w:left="1800" w:hanging="662"/>
    </w:pPr>
    <w:rPr>
      <w:rFonts w:asciiTheme="minorHAnsi" w:eastAsiaTheme="minorEastAsia" w:hAnsiTheme="minorHAnsi"/>
      <w:noProof/>
      <w:sz w:val="19"/>
      <w:lang w:val="en-CA" w:eastAsia="en-CA"/>
    </w:rPr>
  </w:style>
  <w:style w:type="paragraph" w:styleId="TOC4">
    <w:name w:val="toc 4"/>
    <w:basedOn w:val="Normal"/>
    <w:next w:val="Normal"/>
    <w:uiPriority w:val="39"/>
    <w:unhideWhenUsed/>
    <w:rsid w:val="00E7128F"/>
    <w:pPr>
      <w:tabs>
        <w:tab w:val="left" w:pos="2430"/>
        <w:tab w:val="right" w:leader="dot" w:pos="9350"/>
      </w:tabs>
      <w:ind w:left="2430" w:hanging="720"/>
    </w:pPr>
    <w:rPr>
      <w:rFonts w:asciiTheme="minorHAnsi" w:eastAsiaTheme="minorEastAsia" w:hAnsiTheme="minorHAnsi"/>
      <w:noProof/>
      <w:lang w:val="en-CA" w:eastAsia="en-CA"/>
    </w:rPr>
  </w:style>
  <w:style w:type="paragraph" w:styleId="TOC5">
    <w:name w:val="toc 5"/>
    <w:basedOn w:val="Normal"/>
    <w:next w:val="Normal"/>
    <w:autoRedefine/>
    <w:uiPriority w:val="39"/>
    <w:unhideWhenUsed/>
    <w:rsid w:val="00994BED"/>
    <w:pPr>
      <w:ind w:left="720"/>
    </w:pPr>
  </w:style>
  <w:style w:type="paragraph" w:styleId="TOC6">
    <w:name w:val="toc 6"/>
    <w:basedOn w:val="Normal"/>
    <w:next w:val="Normal"/>
    <w:autoRedefine/>
    <w:uiPriority w:val="39"/>
    <w:unhideWhenUsed/>
    <w:rsid w:val="00994BED"/>
    <w:pPr>
      <w:ind w:left="900"/>
    </w:pPr>
  </w:style>
  <w:style w:type="paragraph" w:styleId="TOC7">
    <w:name w:val="toc 7"/>
    <w:basedOn w:val="Normal"/>
    <w:next w:val="Normal"/>
    <w:autoRedefine/>
    <w:uiPriority w:val="39"/>
    <w:unhideWhenUsed/>
    <w:rsid w:val="00994BED"/>
    <w:pPr>
      <w:ind w:left="1080"/>
    </w:pPr>
  </w:style>
  <w:style w:type="paragraph" w:styleId="TOC8">
    <w:name w:val="toc 8"/>
    <w:basedOn w:val="Normal"/>
    <w:next w:val="Normal"/>
    <w:autoRedefine/>
    <w:uiPriority w:val="39"/>
    <w:unhideWhenUsed/>
    <w:rsid w:val="00994BED"/>
    <w:pPr>
      <w:ind w:left="1260"/>
    </w:pPr>
  </w:style>
  <w:style w:type="paragraph" w:styleId="TOC9">
    <w:name w:val="toc 9"/>
    <w:basedOn w:val="Normal"/>
    <w:next w:val="Normal"/>
    <w:autoRedefine/>
    <w:uiPriority w:val="39"/>
    <w:unhideWhenUsed/>
    <w:rsid w:val="00994BED"/>
    <w:pPr>
      <w:ind w:left="1440"/>
    </w:pPr>
  </w:style>
  <w:style w:type="character" w:customStyle="1" w:styleId="Heading5Char">
    <w:name w:val="Heading 5 Char"/>
    <w:basedOn w:val="DefaultParagraphFont"/>
    <w:link w:val="Heading5"/>
    <w:uiPriority w:val="9"/>
    <w:rsid w:val="00AD7C54"/>
    <w:rPr>
      <w:rFonts w:ascii="Calibri Light" w:eastAsiaTheme="majorEastAsia" w:hAnsi="Calibri Light" w:cstheme="majorBidi"/>
      <w:b/>
      <w:color w:val="595959"/>
      <w:sz w:val="20"/>
      <w:u w:val="single"/>
    </w:rPr>
  </w:style>
  <w:style w:type="character" w:customStyle="1" w:styleId="Heading6Char">
    <w:name w:val="Heading 6 Char"/>
    <w:basedOn w:val="DefaultParagraphFont"/>
    <w:link w:val="Heading6"/>
    <w:uiPriority w:val="9"/>
    <w:rsid w:val="00AF163B"/>
    <w:rPr>
      <w:rFonts w:ascii="Calibri Light" w:eastAsiaTheme="majorEastAsia" w:hAnsi="Calibri Light" w:cstheme="majorBidi"/>
      <w:b/>
      <w:i/>
      <w:iCs/>
      <w:color w:val="595959"/>
      <w:sz w:val="20"/>
      <w:szCs w:val="21"/>
    </w:rPr>
  </w:style>
  <w:style w:type="character" w:styleId="Strong">
    <w:name w:val="Strong"/>
    <w:basedOn w:val="DefaultParagraphFont"/>
    <w:uiPriority w:val="22"/>
    <w:qFormat/>
    <w:rsid w:val="00994BED"/>
    <w:rPr>
      <w:b/>
      <w:bCs/>
    </w:rPr>
  </w:style>
  <w:style w:type="paragraph" w:styleId="IntenseQuote">
    <w:name w:val="Intense Quote"/>
    <w:basedOn w:val="Normal"/>
    <w:next w:val="Normal"/>
    <w:link w:val="IntenseQuoteChar"/>
    <w:uiPriority w:val="30"/>
    <w:qFormat/>
    <w:rsid w:val="005D0F71"/>
    <w:pPr>
      <w:pBdr>
        <w:bottom w:val="single" w:sz="6" w:space="4" w:color="000000" w:themeColor="text1"/>
      </w:pBdr>
      <w:spacing w:before="200" w:after="280"/>
      <w:ind w:left="936" w:right="936"/>
    </w:pPr>
    <w:rPr>
      <w:b/>
      <w:bCs/>
      <w:i/>
      <w:iCs/>
      <w:color w:val="000000" w:themeColor="text1"/>
    </w:rPr>
  </w:style>
  <w:style w:type="character" w:customStyle="1" w:styleId="IntenseQuoteChar">
    <w:name w:val="Intense Quote Char"/>
    <w:basedOn w:val="DefaultParagraphFont"/>
    <w:link w:val="IntenseQuote"/>
    <w:uiPriority w:val="30"/>
    <w:rsid w:val="005D0F71"/>
    <w:rPr>
      <w:rFonts w:ascii="Georgia" w:hAnsi="Georgia"/>
      <w:b/>
      <w:bCs/>
      <w:i/>
      <w:iCs/>
      <w:color w:val="000000" w:themeColor="text1"/>
      <w:sz w:val="18"/>
    </w:rPr>
  </w:style>
  <w:style w:type="paragraph" w:styleId="Quote">
    <w:name w:val="Quote"/>
    <w:basedOn w:val="Normal"/>
    <w:next w:val="Normal"/>
    <w:link w:val="QuoteChar"/>
    <w:uiPriority w:val="29"/>
    <w:qFormat/>
    <w:rsid w:val="005D0F71"/>
    <w:rPr>
      <w:i/>
      <w:iCs/>
      <w:color w:val="000000" w:themeColor="text1"/>
    </w:rPr>
  </w:style>
  <w:style w:type="character" w:customStyle="1" w:styleId="QuoteChar">
    <w:name w:val="Quote Char"/>
    <w:basedOn w:val="DefaultParagraphFont"/>
    <w:link w:val="Quote"/>
    <w:uiPriority w:val="29"/>
    <w:rsid w:val="005D0F71"/>
    <w:rPr>
      <w:rFonts w:ascii="Georgia" w:hAnsi="Georgia"/>
      <w:i/>
      <w:iCs/>
      <w:color w:val="000000" w:themeColor="text1"/>
      <w:sz w:val="18"/>
    </w:rPr>
  </w:style>
  <w:style w:type="paragraph" w:styleId="NormalIndent">
    <w:name w:val="Normal Indent"/>
    <w:basedOn w:val="Normal"/>
    <w:uiPriority w:val="99"/>
    <w:unhideWhenUsed/>
    <w:rsid w:val="005D0F71"/>
    <w:pPr>
      <w:ind w:left="720"/>
    </w:pPr>
  </w:style>
  <w:style w:type="paragraph" w:styleId="NoteHeading">
    <w:name w:val="Note Heading"/>
    <w:basedOn w:val="Normal"/>
    <w:next w:val="Normal"/>
    <w:link w:val="NoteHeadingChar"/>
    <w:uiPriority w:val="99"/>
    <w:unhideWhenUsed/>
    <w:rsid w:val="005D0F71"/>
    <w:pPr>
      <w:spacing w:after="0" w:line="240" w:lineRule="auto"/>
    </w:pPr>
  </w:style>
  <w:style w:type="character" w:customStyle="1" w:styleId="NoteHeadingChar">
    <w:name w:val="Note Heading Char"/>
    <w:basedOn w:val="DefaultParagraphFont"/>
    <w:link w:val="NoteHeading"/>
    <w:uiPriority w:val="99"/>
    <w:rsid w:val="005D0F71"/>
    <w:rPr>
      <w:rFonts w:ascii="Georgia" w:hAnsi="Georgia"/>
      <w:sz w:val="18"/>
    </w:rPr>
  </w:style>
  <w:style w:type="character" w:styleId="PageNumber">
    <w:name w:val="page number"/>
    <w:basedOn w:val="DefaultParagraphFont"/>
    <w:uiPriority w:val="99"/>
    <w:unhideWhenUsed/>
    <w:rsid w:val="005D0F71"/>
  </w:style>
  <w:style w:type="character" w:styleId="PlaceholderText">
    <w:name w:val="Placeholder Text"/>
    <w:basedOn w:val="DefaultParagraphFont"/>
    <w:uiPriority w:val="99"/>
    <w:semiHidden/>
    <w:rsid w:val="005D0F71"/>
    <w:rPr>
      <w:color w:val="808080"/>
    </w:rPr>
  </w:style>
  <w:style w:type="paragraph" w:styleId="PlainText">
    <w:name w:val="Plain Text"/>
    <w:basedOn w:val="Normal"/>
    <w:link w:val="PlainTextChar"/>
    <w:uiPriority w:val="99"/>
    <w:unhideWhenUsed/>
    <w:rsid w:val="005D0F7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D0F71"/>
    <w:rPr>
      <w:rFonts w:ascii="Consolas" w:hAnsi="Consolas" w:cs="Consolas"/>
      <w:sz w:val="21"/>
      <w:szCs w:val="21"/>
    </w:rPr>
  </w:style>
  <w:style w:type="paragraph" w:styleId="Salutation">
    <w:name w:val="Salutation"/>
    <w:basedOn w:val="Normal"/>
    <w:next w:val="Normal"/>
    <w:link w:val="SalutationChar"/>
    <w:uiPriority w:val="99"/>
    <w:unhideWhenUsed/>
    <w:rsid w:val="005D0F71"/>
  </w:style>
  <w:style w:type="character" w:customStyle="1" w:styleId="SalutationChar">
    <w:name w:val="Salutation Char"/>
    <w:basedOn w:val="DefaultParagraphFont"/>
    <w:link w:val="Salutation"/>
    <w:uiPriority w:val="99"/>
    <w:rsid w:val="005D0F71"/>
    <w:rPr>
      <w:rFonts w:ascii="Georgia" w:hAnsi="Georgia"/>
      <w:sz w:val="18"/>
    </w:rPr>
  </w:style>
  <w:style w:type="paragraph" w:styleId="Signature">
    <w:name w:val="Signature"/>
    <w:basedOn w:val="Normal"/>
    <w:link w:val="SignatureChar"/>
    <w:uiPriority w:val="99"/>
    <w:unhideWhenUsed/>
    <w:rsid w:val="005D0F71"/>
    <w:pPr>
      <w:spacing w:after="0" w:line="240" w:lineRule="auto"/>
      <w:ind w:left="4320"/>
    </w:pPr>
  </w:style>
  <w:style w:type="character" w:customStyle="1" w:styleId="SignatureChar">
    <w:name w:val="Signature Char"/>
    <w:basedOn w:val="DefaultParagraphFont"/>
    <w:link w:val="Signature"/>
    <w:uiPriority w:val="99"/>
    <w:rsid w:val="005D0F71"/>
    <w:rPr>
      <w:rFonts w:ascii="Georgia" w:hAnsi="Georgia"/>
      <w:sz w:val="18"/>
    </w:rPr>
  </w:style>
  <w:style w:type="paragraph" w:styleId="TableofAuthorities">
    <w:name w:val="table of authorities"/>
    <w:basedOn w:val="Normal"/>
    <w:next w:val="Normal"/>
    <w:uiPriority w:val="99"/>
    <w:unhideWhenUsed/>
    <w:rsid w:val="005D0F71"/>
    <w:pPr>
      <w:spacing w:after="0"/>
      <w:ind w:left="180" w:hanging="180"/>
    </w:pPr>
  </w:style>
  <w:style w:type="paragraph" w:styleId="TableofFigures">
    <w:name w:val="table of figures"/>
    <w:basedOn w:val="Normal"/>
    <w:next w:val="Normal"/>
    <w:uiPriority w:val="99"/>
    <w:unhideWhenUsed/>
    <w:rsid w:val="005D0F71"/>
    <w:pPr>
      <w:spacing w:after="0"/>
    </w:pPr>
  </w:style>
  <w:style w:type="paragraph" w:styleId="TOAHeading">
    <w:name w:val="toa heading"/>
    <w:basedOn w:val="Normal"/>
    <w:next w:val="Normal"/>
    <w:uiPriority w:val="99"/>
    <w:unhideWhenUsed/>
    <w:rsid w:val="005D0F71"/>
    <w:pPr>
      <w:spacing w:before="120"/>
    </w:pPr>
    <w:rPr>
      <w:rFonts w:asciiTheme="majorHAnsi" w:eastAsiaTheme="majorEastAsia" w:hAnsiTheme="majorHAnsi" w:cstheme="majorBidi"/>
      <w:b/>
      <w:bCs/>
      <w:sz w:val="24"/>
      <w:szCs w:val="24"/>
    </w:rPr>
  </w:style>
  <w:style w:type="character" w:customStyle="1" w:styleId="Heading9Char">
    <w:name w:val="Heading 9 Char"/>
    <w:basedOn w:val="DefaultParagraphFont"/>
    <w:link w:val="Heading9"/>
    <w:uiPriority w:val="9"/>
    <w:rsid w:val="005D0F71"/>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A87EC7"/>
    <w:pPr>
      <w:numPr>
        <w:ilvl w:val="1"/>
      </w:numPr>
    </w:pPr>
    <w:rPr>
      <w:rFonts w:ascii="Calibri" w:eastAsiaTheme="majorEastAsia" w:hAnsi="Calibri" w:cs="Calibri"/>
      <w:iCs/>
      <w:color w:val="7F7F7F" w:themeColor="text1" w:themeTint="80"/>
      <w:spacing w:val="15"/>
      <w:sz w:val="36"/>
      <w:szCs w:val="36"/>
    </w:rPr>
  </w:style>
  <w:style w:type="character" w:customStyle="1" w:styleId="SubtitleChar">
    <w:name w:val="Subtitle Char"/>
    <w:basedOn w:val="DefaultParagraphFont"/>
    <w:link w:val="Subtitle"/>
    <w:uiPriority w:val="11"/>
    <w:rsid w:val="00A87EC7"/>
    <w:rPr>
      <w:rFonts w:ascii="Calibri" w:eastAsiaTheme="majorEastAsia" w:hAnsi="Calibri" w:cs="Calibri"/>
      <w:iCs/>
      <w:color w:val="7F7F7F" w:themeColor="text1" w:themeTint="80"/>
      <w:spacing w:val="15"/>
      <w:sz w:val="36"/>
      <w:szCs w:val="36"/>
    </w:rPr>
  </w:style>
  <w:style w:type="paragraph" w:styleId="MessageHeader">
    <w:name w:val="Message Header"/>
    <w:basedOn w:val="Normal"/>
    <w:link w:val="MessageHeaderChar"/>
    <w:uiPriority w:val="99"/>
    <w:unhideWhenUsed/>
    <w:rsid w:val="00F4197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4197E"/>
    <w:rPr>
      <w:rFonts w:asciiTheme="majorHAnsi" w:eastAsiaTheme="majorEastAsia" w:hAnsiTheme="majorHAnsi" w:cstheme="majorBidi"/>
      <w:sz w:val="24"/>
      <w:szCs w:val="24"/>
      <w:shd w:val="pct20" w:color="auto" w:fill="auto"/>
    </w:rPr>
  </w:style>
  <w:style w:type="character" w:styleId="IntenseEmphasis">
    <w:name w:val="Intense Emphasis"/>
    <w:basedOn w:val="DefaultParagraphFont"/>
    <w:uiPriority w:val="21"/>
    <w:qFormat/>
    <w:rsid w:val="00EC02CD"/>
    <w:rPr>
      <w:rFonts w:ascii="Georgia" w:hAnsi="Georgia"/>
      <w:b/>
      <w:bCs/>
      <w:i/>
      <w:iCs/>
      <w:color w:val="000000" w:themeColor="text1"/>
      <w:sz w:val="18"/>
    </w:rPr>
  </w:style>
  <w:style w:type="character" w:styleId="Hyperlink">
    <w:name w:val="Hyperlink"/>
    <w:basedOn w:val="DefaultParagraphFont"/>
    <w:uiPriority w:val="99"/>
    <w:unhideWhenUsed/>
    <w:rsid w:val="004108A9"/>
    <w:rPr>
      <w:color w:val="0089AA" w:themeColor="accent5" w:themeShade="BF"/>
      <w:u w:val="single"/>
    </w:rPr>
  </w:style>
  <w:style w:type="character" w:styleId="FollowedHyperlink">
    <w:name w:val="FollowedHyperlink"/>
    <w:basedOn w:val="DefaultParagraphFont"/>
    <w:uiPriority w:val="99"/>
    <w:unhideWhenUsed/>
    <w:rsid w:val="004108A9"/>
    <w:rPr>
      <w:color w:val="693A77" w:themeColor="followedHyperlink"/>
      <w:u w:val="single"/>
    </w:rPr>
  </w:style>
  <w:style w:type="character" w:styleId="SubtleEmphasis">
    <w:name w:val="Subtle Emphasis"/>
    <w:basedOn w:val="DefaultParagraphFont"/>
    <w:uiPriority w:val="19"/>
    <w:qFormat/>
    <w:rsid w:val="004108A9"/>
    <w:rPr>
      <w:i/>
      <w:iCs/>
      <w:color w:val="595959" w:themeColor="text1" w:themeTint="A6"/>
    </w:rPr>
  </w:style>
  <w:style w:type="paragraph" w:styleId="ListParagraph">
    <w:name w:val="List Paragraph"/>
    <w:aliases w:val="Lettre d'introduction,List Paragraph1,List Paragraph - bullets,Resume Title,Paperitemletter,Dot pt,Liste 1,Unordered List Level 1,Bullet list"/>
    <w:basedOn w:val="Normal"/>
    <w:link w:val="ListParagraphChar"/>
    <w:uiPriority w:val="34"/>
    <w:qFormat/>
    <w:rsid w:val="004D4735"/>
    <w:pPr>
      <w:ind w:left="720"/>
    </w:pPr>
  </w:style>
  <w:style w:type="paragraph" w:styleId="ListBullet">
    <w:name w:val="List Bullet"/>
    <w:basedOn w:val="Normal"/>
    <w:uiPriority w:val="99"/>
    <w:unhideWhenUsed/>
    <w:rsid w:val="001700B5"/>
    <w:pPr>
      <w:numPr>
        <w:numId w:val="1"/>
      </w:numPr>
      <w:contextualSpacing/>
    </w:pPr>
  </w:style>
  <w:style w:type="paragraph" w:styleId="ListBullet2">
    <w:name w:val="List Bullet 2"/>
    <w:basedOn w:val="Normal"/>
    <w:uiPriority w:val="99"/>
    <w:unhideWhenUsed/>
    <w:rsid w:val="001700B5"/>
    <w:pPr>
      <w:numPr>
        <w:numId w:val="2"/>
      </w:numPr>
      <w:contextualSpacing/>
    </w:pPr>
  </w:style>
  <w:style w:type="paragraph" w:styleId="Caption">
    <w:name w:val="caption"/>
    <w:basedOn w:val="Normal"/>
    <w:next w:val="Normal"/>
    <w:link w:val="CaptionChar"/>
    <w:uiPriority w:val="35"/>
    <w:unhideWhenUsed/>
    <w:qFormat/>
    <w:rsid w:val="00DD6924"/>
    <w:pPr>
      <w:spacing w:line="240" w:lineRule="auto"/>
    </w:pPr>
    <w:rPr>
      <w:b/>
      <w:bCs/>
      <w:color w:val="000000" w:themeColor="text1"/>
      <w:szCs w:val="18"/>
    </w:rPr>
  </w:style>
  <w:style w:type="character" w:styleId="BookTitle">
    <w:name w:val="Book Title"/>
    <w:basedOn w:val="DefaultParagraphFont"/>
    <w:uiPriority w:val="33"/>
    <w:qFormat/>
    <w:rsid w:val="00DD6924"/>
    <w:rPr>
      <w:b/>
      <w:bCs/>
      <w:smallCaps/>
      <w:color w:val="7F7F7F" w:themeColor="text1" w:themeTint="80"/>
      <w:spacing w:val="5"/>
    </w:rPr>
  </w:style>
  <w:style w:type="paragraph" w:styleId="Bibliography">
    <w:name w:val="Bibliography"/>
    <w:basedOn w:val="Normal"/>
    <w:next w:val="Normal"/>
    <w:uiPriority w:val="37"/>
    <w:unhideWhenUsed/>
    <w:rsid w:val="001B69C2"/>
  </w:style>
  <w:style w:type="paragraph" w:styleId="TOCHeading">
    <w:name w:val="TOC Heading"/>
    <w:basedOn w:val="Heading1"/>
    <w:next w:val="Normal"/>
    <w:uiPriority w:val="39"/>
    <w:unhideWhenUsed/>
    <w:qFormat/>
    <w:rsid w:val="00827040"/>
    <w:pPr>
      <w:spacing w:after="0" w:line="300" w:lineRule="auto"/>
      <w:outlineLvl w:val="9"/>
    </w:pPr>
    <w:rPr>
      <w:rFonts w:ascii="Tw Cen MT Condensed" w:hAnsi="Tw Cen MT Condensed"/>
      <w:b w:val="0"/>
      <w:color w:val="000000" w:themeColor="text1"/>
      <w:kern w:val="0"/>
      <w:sz w:val="28"/>
    </w:rPr>
  </w:style>
  <w:style w:type="paragraph" w:customStyle="1" w:styleId="Note1">
    <w:name w:val="Note1"/>
    <w:basedOn w:val="Normal"/>
    <w:next w:val="Normal"/>
    <w:rsid w:val="00075245"/>
    <w:pPr>
      <w:numPr>
        <w:numId w:val="3"/>
      </w:numPr>
      <w:pBdr>
        <w:top w:val="single" w:sz="2" w:space="15" w:color="7F7F7F"/>
        <w:left w:val="single" w:sz="2" w:space="10" w:color="7F7F7F"/>
        <w:bottom w:val="single" w:sz="2" w:space="15" w:color="7F7F7F"/>
        <w:right w:val="single" w:sz="2" w:space="10" w:color="7F7F7F"/>
      </w:pBdr>
      <w:shd w:val="clear" w:color="auto" w:fill="F2F2F2"/>
      <w:tabs>
        <w:tab w:val="clear" w:pos="1814"/>
        <w:tab w:val="num" w:pos="837"/>
      </w:tabs>
      <w:suppressAutoHyphens/>
      <w:spacing w:before="120" w:after="120" w:line="240" w:lineRule="atLeast"/>
      <w:ind w:left="849" w:right="187" w:hanging="619"/>
    </w:pPr>
    <w:rPr>
      <w:rFonts w:eastAsia="Times New Roman" w:cs="Arial"/>
      <w:bCs/>
      <w:iCs/>
      <w:color w:val="000000"/>
      <w:lang w:val="en-CA"/>
    </w:rPr>
  </w:style>
  <w:style w:type="paragraph" w:customStyle="1" w:styleId="IntroText">
    <w:name w:val="Intro Text"/>
    <w:basedOn w:val="Normal"/>
    <w:qFormat/>
    <w:rsid w:val="00C676D0"/>
    <w:rPr>
      <w:i/>
      <w:color w:val="262626" w:themeColor="text1" w:themeTint="D9"/>
      <w:sz w:val="24"/>
      <w:shd w:val="clear" w:color="auto" w:fill="FFFFFF"/>
    </w:rPr>
  </w:style>
  <w:style w:type="paragraph" w:customStyle="1" w:styleId="Important">
    <w:name w:val="Important"/>
    <w:basedOn w:val="Normal"/>
    <w:next w:val="Normal"/>
    <w:rsid w:val="00AD6FF1"/>
    <w:pPr>
      <w:numPr>
        <w:numId w:val="4"/>
      </w:numPr>
      <w:pBdr>
        <w:top w:val="single" w:sz="2" w:space="15" w:color="7F7F7F"/>
        <w:left w:val="single" w:sz="2" w:space="10" w:color="7F7F7F"/>
        <w:bottom w:val="single" w:sz="2" w:space="15" w:color="7F7F7F"/>
        <w:right w:val="single" w:sz="2" w:space="10" w:color="7F7F7F"/>
      </w:pBdr>
      <w:shd w:val="clear" w:color="auto" w:fill="F2F2F2"/>
      <w:tabs>
        <w:tab w:val="clear" w:pos="2160"/>
        <w:tab w:val="left" w:pos="1418"/>
      </w:tabs>
      <w:suppressAutoHyphens/>
      <w:spacing w:after="240" w:line="240" w:lineRule="atLeast"/>
      <w:ind w:left="0"/>
    </w:pPr>
    <w:rPr>
      <w:rFonts w:eastAsia="Times New Roman" w:cs="Arial"/>
      <w:bCs/>
      <w:iCs/>
      <w:color w:val="000000"/>
      <w:lang w:val="en-CA"/>
    </w:rPr>
  </w:style>
  <w:style w:type="character" w:styleId="SubtleReference">
    <w:name w:val="Subtle Reference"/>
    <w:basedOn w:val="DefaultParagraphFont"/>
    <w:uiPriority w:val="31"/>
    <w:qFormat/>
    <w:rsid w:val="007E14A5"/>
    <w:rPr>
      <w:smallCaps/>
      <w:color w:val="7F7F7F" w:themeColor="text1" w:themeTint="80"/>
      <w:u w:val="single"/>
    </w:rPr>
  </w:style>
  <w:style w:type="character" w:styleId="IntenseReference">
    <w:name w:val="Intense Reference"/>
    <w:basedOn w:val="DefaultParagraphFont"/>
    <w:uiPriority w:val="32"/>
    <w:qFormat/>
    <w:rsid w:val="00DD6924"/>
    <w:rPr>
      <w:b/>
      <w:bCs/>
      <w:smallCaps/>
      <w:color w:val="404040" w:themeColor="text1" w:themeTint="BF"/>
      <w:spacing w:val="5"/>
      <w:u w:val="single"/>
    </w:rPr>
  </w:style>
  <w:style w:type="paragraph" w:styleId="EndnoteText">
    <w:name w:val="endnote text"/>
    <w:basedOn w:val="Normal"/>
    <w:link w:val="EndnoteTextChar"/>
    <w:uiPriority w:val="99"/>
    <w:semiHidden/>
    <w:unhideWhenUsed/>
    <w:rsid w:val="00E17EA7"/>
    <w:pPr>
      <w:spacing w:after="0" w:line="240" w:lineRule="auto"/>
    </w:pPr>
    <w:rPr>
      <w:rFonts w:ascii="Calibri" w:hAnsi="Calibri"/>
      <w:sz w:val="20"/>
      <w:szCs w:val="20"/>
    </w:rPr>
  </w:style>
  <w:style w:type="character" w:customStyle="1" w:styleId="EndnoteTextChar">
    <w:name w:val="Endnote Text Char"/>
    <w:basedOn w:val="DefaultParagraphFont"/>
    <w:link w:val="EndnoteText"/>
    <w:uiPriority w:val="99"/>
    <w:semiHidden/>
    <w:rsid w:val="00E17EA7"/>
    <w:rPr>
      <w:rFonts w:ascii="Calibri" w:hAnsi="Calibri"/>
      <w:sz w:val="20"/>
      <w:szCs w:val="20"/>
    </w:rPr>
  </w:style>
  <w:style w:type="character" w:styleId="EndnoteReference">
    <w:name w:val="endnote reference"/>
    <w:basedOn w:val="DefaultParagraphFont"/>
    <w:uiPriority w:val="99"/>
    <w:semiHidden/>
    <w:unhideWhenUsed/>
    <w:rsid w:val="00684E53"/>
    <w:rPr>
      <w:vertAlign w:val="superscript"/>
    </w:rPr>
  </w:style>
  <w:style w:type="paragraph" w:styleId="FootnoteText">
    <w:name w:val="footnote text"/>
    <w:basedOn w:val="Normal"/>
    <w:link w:val="FootnoteTextChar"/>
    <w:uiPriority w:val="99"/>
    <w:unhideWhenUsed/>
    <w:rsid w:val="00684E53"/>
    <w:pPr>
      <w:spacing w:after="0" w:line="240" w:lineRule="auto"/>
    </w:pPr>
    <w:rPr>
      <w:sz w:val="20"/>
      <w:szCs w:val="20"/>
    </w:rPr>
  </w:style>
  <w:style w:type="character" w:customStyle="1" w:styleId="FootnoteTextChar">
    <w:name w:val="Footnote Text Char"/>
    <w:basedOn w:val="DefaultParagraphFont"/>
    <w:link w:val="FootnoteText"/>
    <w:uiPriority w:val="99"/>
    <w:rsid w:val="00684E53"/>
    <w:rPr>
      <w:rFonts w:ascii="Georgia" w:hAnsi="Georgia"/>
      <w:sz w:val="20"/>
      <w:szCs w:val="20"/>
    </w:rPr>
  </w:style>
  <w:style w:type="character" w:styleId="FootnoteReference">
    <w:name w:val="footnote reference"/>
    <w:basedOn w:val="DefaultParagraphFont"/>
    <w:uiPriority w:val="99"/>
    <w:unhideWhenUsed/>
    <w:rsid w:val="00684E53"/>
    <w:rPr>
      <w:vertAlign w:val="superscript"/>
    </w:rPr>
  </w:style>
  <w:style w:type="paragraph" w:styleId="BalloonText">
    <w:name w:val="Balloon Text"/>
    <w:basedOn w:val="Normal"/>
    <w:link w:val="BalloonTextChar"/>
    <w:uiPriority w:val="99"/>
    <w:semiHidden/>
    <w:unhideWhenUsed/>
    <w:rsid w:val="00684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E53"/>
    <w:rPr>
      <w:rFonts w:ascii="Tahoma" w:hAnsi="Tahoma" w:cs="Tahoma"/>
      <w:sz w:val="16"/>
      <w:szCs w:val="16"/>
    </w:rPr>
  </w:style>
  <w:style w:type="paragraph" w:styleId="Header">
    <w:name w:val="header"/>
    <w:basedOn w:val="Normal"/>
    <w:link w:val="HeaderChar"/>
    <w:uiPriority w:val="99"/>
    <w:unhideWhenUsed/>
    <w:rsid w:val="00C13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AC9"/>
    <w:rPr>
      <w:rFonts w:ascii="Georgia" w:hAnsi="Georgia"/>
      <w:sz w:val="18"/>
    </w:rPr>
  </w:style>
  <w:style w:type="paragraph" w:styleId="Footer">
    <w:name w:val="footer"/>
    <w:basedOn w:val="Normal"/>
    <w:link w:val="FooterChar"/>
    <w:uiPriority w:val="99"/>
    <w:unhideWhenUsed/>
    <w:rsid w:val="00435772"/>
    <w:pPr>
      <w:tabs>
        <w:tab w:val="center" w:pos="4680"/>
        <w:tab w:val="right" w:pos="9360"/>
      </w:tabs>
      <w:spacing w:after="0" w:line="240" w:lineRule="auto"/>
    </w:pPr>
    <w:rPr>
      <w:rFonts w:ascii="Calibri" w:hAnsi="Calibri"/>
      <w:color w:val="7F7F7F" w:themeColor="text1" w:themeTint="80"/>
      <w:sz w:val="20"/>
    </w:rPr>
  </w:style>
  <w:style w:type="character" w:customStyle="1" w:styleId="FooterChar">
    <w:name w:val="Footer Char"/>
    <w:basedOn w:val="DefaultParagraphFont"/>
    <w:link w:val="Footer"/>
    <w:uiPriority w:val="99"/>
    <w:rsid w:val="00435772"/>
    <w:rPr>
      <w:rFonts w:ascii="Calibri" w:hAnsi="Calibri"/>
      <w:color w:val="7F7F7F" w:themeColor="text1" w:themeTint="80"/>
      <w:sz w:val="20"/>
    </w:rPr>
  </w:style>
  <w:style w:type="paragraph" w:customStyle="1" w:styleId="DocumentTitle">
    <w:name w:val="Document Title"/>
    <w:basedOn w:val="Normal"/>
    <w:qFormat/>
    <w:rsid w:val="00B150F4"/>
    <w:pPr>
      <w:spacing w:line="240" w:lineRule="auto"/>
    </w:pPr>
    <w:rPr>
      <w:sz w:val="72"/>
      <w:szCs w:val="72"/>
    </w:rPr>
  </w:style>
  <w:style w:type="paragraph" w:customStyle="1" w:styleId="DocumentSubtitle">
    <w:name w:val="Document Subtitle"/>
    <w:basedOn w:val="Subtitle"/>
    <w:next w:val="Normal"/>
    <w:qFormat/>
    <w:rsid w:val="002E0904"/>
    <w:pPr>
      <w:spacing w:line="240" w:lineRule="auto"/>
    </w:pPr>
    <w:rPr>
      <w:b/>
      <w:spacing w:val="0"/>
      <w:sz w:val="60"/>
      <w:szCs w:val="60"/>
    </w:rPr>
  </w:style>
  <w:style w:type="table" w:styleId="TableGrid">
    <w:name w:val="Table Grid"/>
    <w:aliases w:val="Deloitte,Table Definitions Grid,Deloitte Table Grid,Table Definitions Grid1"/>
    <w:basedOn w:val="TableNormal"/>
    <w:uiPriority w:val="39"/>
    <w:rsid w:val="00161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foTable">
    <w:name w:val="InfoTable"/>
    <w:basedOn w:val="TableProfessional"/>
    <w:rsid w:val="0016137F"/>
    <w:pPr>
      <w:spacing w:after="0" w:line="240" w:lineRule="auto"/>
    </w:pPr>
    <w:rPr>
      <w:rFonts w:ascii="Georgia" w:eastAsia="Times New Roman" w:hAnsi="Georgia" w:cs="Times New Roman"/>
      <w:sz w:val="18"/>
      <w:szCs w:val="20"/>
      <w:lang w:val="en-CA" w:eastAsia="en-CA"/>
    </w:rPr>
    <w:tblPr>
      <w:jc w:val="center"/>
      <w:tblBorders>
        <w:top w:val="none" w:sz="0" w:space="0" w:color="auto"/>
        <w:left w:val="none" w:sz="0" w:space="0" w:color="auto"/>
        <w:bottom w:val="none" w:sz="0" w:space="0" w:color="auto"/>
        <w:right w:val="none" w:sz="0" w:space="0" w:color="auto"/>
        <w:insideH w:val="dotted" w:sz="2" w:space="0" w:color="000000"/>
        <w:insideV w:val="none" w:sz="0" w:space="0" w:color="auto"/>
      </w:tblBorders>
      <w:tblCellMar>
        <w:top w:w="101" w:type="dxa"/>
        <w:left w:w="101" w:type="dxa"/>
        <w:bottom w:w="101" w:type="dxa"/>
        <w:right w:w="101" w:type="dxa"/>
      </w:tblCellMar>
    </w:tblPr>
    <w:trPr>
      <w:jc w:val="center"/>
    </w:trPr>
    <w:tcPr>
      <w:shd w:val="clear" w:color="auto" w:fill="auto"/>
    </w:tcPr>
    <w:tblStylePr w:type="firstRow">
      <w:pPr>
        <w:jc w:val="left"/>
      </w:pPr>
      <w:rPr>
        <w:rFonts w:ascii="ZWAdobeF" w:hAnsi="ZWAdobeF"/>
        <w:b w:val="0"/>
        <w:bCs/>
        <w:color w:val="FFFFFF"/>
        <w:sz w:val="24"/>
      </w:rPr>
      <w:tblPr/>
      <w:tcPr>
        <w:tcBorders>
          <w:top w:val="nil"/>
          <w:left w:val="nil"/>
          <w:bottom w:val="nil"/>
          <w:right w:val="nil"/>
          <w:insideH w:val="nil"/>
          <w:insideV w:val="nil"/>
          <w:tl2br w:val="nil"/>
          <w:tr2bl w:val="nil"/>
        </w:tcBorders>
        <w:shd w:val="solid" w:color="000000" w:fill="000000"/>
      </w:tcPr>
    </w:tblStylePr>
  </w:style>
  <w:style w:type="table" w:styleId="TableProfessional">
    <w:name w:val="Table Professional"/>
    <w:basedOn w:val="TableNormal"/>
    <w:uiPriority w:val="99"/>
    <w:semiHidden/>
    <w:unhideWhenUsed/>
    <w:rsid w:val="0016137F"/>
    <w:pPr>
      <w:spacing w:line="312"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oSpacingChar">
    <w:name w:val="No Spacing Char"/>
    <w:basedOn w:val="DefaultParagraphFont"/>
    <w:link w:val="NoSpacing"/>
    <w:uiPriority w:val="1"/>
    <w:rsid w:val="00FE0C27"/>
    <w:rPr>
      <w:rFonts w:ascii="Georgia" w:hAnsi="Georgia"/>
      <w:sz w:val="18"/>
    </w:rPr>
  </w:style>
  <w:style w:type="numbering" w:customStyle="1" w:styleId="Headings">
    <w:name w:val="Headings"/>
    <w:uiPriority w:val="99"/>
    <w:rsid w:val="000337DE"/>
    <w:pPr>
      <w:numPr>
        <w:numId w:val="5"/>
      </w:numPr>
    </w:pPr>
  </w:style>
  <w:style w:type="paragraph" w:customStyle="1" w:styleId="Heading4-WithNumber">
    <w:name w:val="Heading 4 - With Number"/>
    <w:basedOn w:val="Heading4"/>
    <w:next w:val="Body"/>
    <w:qFormat/>
    <w:rsid w:val="00701924"/>
    <w:pPr>
      <w:numPr>
        <w:ilvl w:val="3"/>
        <w:numId w:val="42"/>
      </w:numPr>
      <w:tabs>
        <w:tab w:val="left" w:pos="828"/>
      </w:tabs>
      <w:spacing w:before="300"/>
      <w:ind w:left="835" w:hanging="835"/>
    </w:pPr>
    <w:rPr>
      <w:rFonts w:ascii="Calibri Light" w:hAnsi="Calibri Light"/>
      <w:smallCaps/>
      <w:color w:val="595959"/>
      <w:sz w:val="20"/>
      <w:lang w:val="en-CA" w:eastAsia="en-CA"/>
    </w:rPr>
  </w:style>
  <w:style w:type="paragraph" w:customStyle="1" w:styleId="Body">
    <w:name w:val="Body"/>
    <w:basedOn w:val="Normal"/>
    <w:qFormat/>
    <w:rsid w:val="00EA7660"/>
    <w:pPr>
      <w:spacing w:line="276" w:lineRule="auto"/>
    </w:pPr>
    <w:rPr>
      <w:rFonts w:ascii="Calibri" w:hAnsi="Calibri"/>
      <w:sz w:val="22"/>
    </w:rPr>
  </w:style>
  <w:style w:type="paragraph" w:customStyle="1" w:styleId="Heading-NoNumber">
    <w:name w:val="Heading - No Number"/>
    <w:basedOn w:val="Body"/>
    <w:qFormat/>
    <w:rsid w:val="00CE5DA0"/>
    <w:pPr>
      <w:spacing w:before="140"/>
    </w:pPr>
    <w:rPr>
      <w:rFonts w:asciiTheme="majorHAnsi" w:hAnsiTheme="majorHAnsi"/>
      <w:b/>
      <w:sz w:val="24"/>
      <w:szCs w:val="26"/>
    </w:rPr>
  </w:style>
  <w:style w:type="paragraph" w:customStyle="1" w:styleId="TableText">
    <w:name w:val="Table Text"/>
    <w:basedOn w:val="Body"/>
    <w:link w:val="TableTextCharChar"/>
    <w:qFormat/>
    <w:rsid w:val="001C5A44"/>
    <w:pPr>
      <w:spacing w:before="40" w:after="40" w:line="240" w:lineRule="auto"/>
    </w:pPr>
    <w:rPr>
      <w:spacing w:val="-2"/>
      <w:sz w:val="18"/>
    </w:rPr>
  </w:style>
  <w:style w:type="paragraph" w:customStyle="1" w:styleId="TOCTitle">
    <w:name w:val="TOC Title"/>
    <w:basedOn w:val="Heading1"/>
    <w:qFormat/>
    <w:rsid w:val="00ED3CFD"/>
    <w:pPr>
      <w:numPr>
        <w:numId w:val="0"/>
      </w:numPr>
      <w:spacing w:after="360"/>
    </w:pPr>
    <w:rPr>
      <w:sz w:val="36"/>
    </w:rPr>
  </w:style>
  <w:style w:type="character" w:styleId="CommentReference">
    <w:name w:val="annotation reference"/>
    <w:basedOn w:val="DefaultParagraphFont"/>
    <w:uiPriority w:val="99"/>
    <w:semiHidden/>
    <w:unhideWhenUsed/>
    <w:rsid w:val="00430A34"/>
    <w:rPr>
      <w:sz w:val="16"/>
      <w:szCs w:val="16"/>
    </w:rPr>
  </w:style>
  <w:style w:type="paragraph" w:styleId="CommentText">
    <w:name w:val="annotation text"/>
    <w:basedOn w:val="Normal"/>
    <w:link w:val="CommentTextChar"/>
    <w:uiPriority w:val="99"/>
    <w:unhideWhenUsed/>
    <w:rsid w:val="00430A34"/>
    <w:pPr>
      <w:spacing w:line="240" w:lineRule="auto"/>
    </w:pPr>
    <w:rPr>
      <w:sz w:val="20"/>
      <w:szCs w:val="20"/>
    </w:rPr>
  </w:style>
  <w:style w:type="character" w:customStyle="1" w:styleId="CommentTextChar">
    <w:name w:val="Comment Text Char"/>
    <w:basedOn w:val="DefaultParagraphFont"/>
    <w:link w:val="CommentText"/>
    <w:uiPriority w:val="99"/>
    <w:rsid w:val="00430A34"/>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430A34"/>
    <w:rPr>
      <w:b/>
      <w:bCs/>
    </w:rPr>
  </w:style>
  <w:style w:type="character" w:customStyle="1" w:styleId="CommentSubjectChar">
    <w:name w:val="Comment Subject Char"/>
    <w:basedOn w:val="CommentTextChar"/>
    <w:link w:val="CommentSubject"/>
    <w:uiPriority w:val="99"/>
    <w:semiHidden/>
    <w:rsid w:val="00430A34"/>
    <w:rPr>
      <w:rFonts w:ascii="Georgia" w:hAnsi="Georgia"/>
      <w:b/>
      <w:bCs/>
      <w:sz w:val="20"/>
      <w:szCs w:val="20"/>
    </w:rPr>
  </w:style>
  <w:style w:type="paragraph" w:customStyle="1" w:styleId="Figure">
    <w:name w:val="Figure"/>
    <w:basedOn w:val="Normal"/>
    <w:next w:val="Normal"/>
    <w:qFormat/>
    <w:rsid w:val="005C67BD"/>
    <w:pPr>
      <w:numPr>
        <w:numId w:val="6"/>
      </w:numPr>
      <w:tabs>
        <w:tab w:val="left" w:pos="630"/>
      </w:tabs>
      <w:spacing w:after="240"/>
    </w:pPr>
    <w:rPr>
      <w:rFonts w:asciiTheme="majorHAnsi" w:hAnsiTheme="majorHAnsi"/>
      <w:szCs w:val="18"/>
      <w:lang w:val="en-CA" w:eastAsia="en-CA"/>
    </w:rPr>
  </w:style>
  <w:style w:type="paragraph" w:customStyle="1" w:styleId="Appendix-Level1">
    <w:name w:val="Appendix - Level 1"/>
    <w:basedOn w:val="Heading1"/>
    <w:next w:val="Body"/>
    <w:qFormat/>
    <w:rsid w:val="009B61B0"/>
    <w:pPr>
      <w:numPr>
        <w:numId w:val="8"/>
      </w:numPr>
      <w:tabs>
        <w:tab w:val="left" w:pos="2070"/>
      </w:tabs>
    </w:pPr>
  </w:style>
  <w:style w:type="paragraph" w:customStyle="1" w:styleId="Appendix-Level2">
    <w:name w:val="Appendix - Level 2"/>
    <w:basedOn w:val="Heading2"/>
    <w:qFormat/>
    <w:rsid w:val="003C2628"/>
    <w:pPr>
      <w:numPr>
        <w:numId w:val="8"/>
      </w:numPr>
      <w:ind w:hanging="720"/>
    </w:pPr>
  </w:style>
  <w:style w:type="numbering" w:customStyle="1" w:styleId="Appendices">
    <w:name w:val="Appendices"/>
    <w:uiPriority w:val="99"/>
    <w:rsid w:val="009B61B0"/>
    <w:pPr>
      <w:numPr>
        <w:numId w:val="7"/>
      </w:numPr>
    </w:pPr>
  </w:style>
  <w:style w:type="paragraph" w:customStyle="1" w:styleId="Appendix-Level3">
    <w:name w:val="Appendix - Level 3"/>
    <w:basedOn w:val="Appendix-Level2"/>
    <w:qFormat/>
    <w:rsid w:val="00283E78"/>
    <w:pPr>
      <w:numPr>
        <w:ilvl w:val="2"/>
      </w:numPr>
      <w:spacing w:before="300"/>
      <w:ind w:left="720" w:hanging="720"/>
    </w:pPr>
    <w:rPr>
      <w:sz w:val="28"/>
    </w:rPr>
  </w:style>
  <w:style w:type="table" w:customStyle="1" w:styleId="eHealthTable">
    <w:name w:val="eHealth Table"/>
    <w:basedOn w:val="TableGrid"/>
    <w:uiPriority w:val="99"/>
    <w:rsid w:val="00204DE9"/>
    <w:pPr>
      <w:spacing w:before="100" w:after="100" w:line="192" w:lineRule="auto"/>
    </w:pPr>
    <w:rPr>
      <w:color w:val="404040" w:themeColor="text1" w:themeTint="BF"/>
      <w:sz w:val="24"/>
    </w:rPr>
    <w:tblPr>
      <w:tblStyleRowBandSize w:val="1"/>
      <w:tblStyleColBandSize w:val="1"/>
      <w:tblBorders>
        <w:top w:val="none" w:sz="0" w:space="0" w:color="auto"/>
        <w:left w:val="none" w:sz="0" w:space="0" w:color="auto"/>
        <w:bottom w:val="dotted" w:sz="8" w:space="0" w:color="7F7F7F" w:themeColor="text1" w:themeTint="80"/>
        <w:right w:val="none" w:sz="0" w:space="0" w:color="auto"/>
        <w:insideH w:val="dotted" w:sz="8" w:space="0" w:color="7F7F7F" w:themeColor="text1" w:themeTint="80"/>
        <w:insideV w:val="none" w:sz="0" w:space="0" w:color="auto"/>
      </w:tblBorders>
    </w:tblPr>
    <w:tblStylePr w:type="firstRow">
      <w:pPr>
        <w:wordWrap/>
        <w:spacing w:afterLines="0" w:after="100" w:afterAutospacing="1" w:line="240" w:lineRule="auto"/>
        <w:jc w:val="left"/>
      </w:pPr>
      <w:rPr>
        <w:rFonts w:asciiTheme="minorHAnsi" w:hAnsiTheme="minorHAnsi"/>
        <w:b/>
        <w:color w:val="000000" w:themeColor="text1"/>
        <w:sz w:val="24"/>
      </w:rPr>
      <w:tblPr/>
      <w:tcPr>
        <w:tcBorders>
          <w:bottom w:val="single" w:sz="18" w:space="0" w:color="7F7F7F" w:themeColor="text1" w:themeTint="80"/>
        </w:tcBorders>
      </w:tcPr>
    </w:tblStylePr>
    <w:tblStylePr w:type="lastRow">
      <w:rPr>
        <w:rFonts w:asciiTheme="minorHAnsi" w:hAnsiTheme="minorHAnsi"/>
        <w:b/>
        <w:color w:val="0D0D0D" w:themeColor="text1" w:themeTint="F2"/>
        <w:sz w:val="24"/>
      </w:rPr>
      <w:tblPr/>
      <w:tcPr>
        <w:tcBorders>
          <w:top w:val="single" w:sz="8" w:space="0" w:color="7F7F7F" w:themeColor="text1" w:themeTint="80"/>
          <w:bottom w:val="nil"/>
        </w:tcBorders>
        <w:shd w:val="clear" w:color="auto" w:fill="F2F2F2" w:themeFill="background1" w:themeFillShade="F2"/>
      </w:tcPr>
    </w:tblStylePr>
    <w:tblStylePr w:type="band1Vert">
      <w:pPr>
        <w:wordWrap/>
        <w:spacing w:line="240" w:lineRule="auto"/>
      </w:pPr>
      <w:rPr>
        <w:color w:val="404040" w:themeColor="text1" w:themeTint="BF"/>
      </w:rPr>
      <w:tblPr/>
      <w:tcPr>
        <w:tcBorders>
          <w:bottom w:val="nil"/>
        </w:tcBorders>
      </w:tcPr>
    </w:tblStylePr>
    <w:tblStylePr w:type="band1Horz">
      <w:pPr>
        <w:wordWrap/>
        <w:spacing w:beforeLines="0" w:afterLines="0" w:line="240" w:lineRule="auto"/>
        <w:jc w:val="left"/>
      </w:pPr>
      <w:rPr>
        <w:rFonts w:asciiTheme="minorHAnsi" w:hAnsiTheme="minorHAnsi"/>
        <w:b w:val="0"/>
        <w:color w:val="404040" w:themeColor="text1" w:themeTint="BF"/>
        <w:sz w:val="24"/>
        <w14:cntxtAlts w14:val="0"/>
      </w:rPr>
      <w:tblPr/>
      <w:tcPr>
        <w:tcBorders>
          <w:top w:val="nil"/>
          <w:left w:val="nil"/>
          <w:bottom w:val="dotted" w:sz="4" w:space="0" w:color="7F7F7F" w:themeColor="text1" w:themeTint="80"/>
          <w:right w:val="nil"/>
          <w:insideH w:val="nil"/>
          <w:insideV w:val="nil"/>
        </w:tcBorders>
        <w:shd w:val="clear" w:color="auto" w:fill="F8F8F8"/>
      </w:tcPr>
    </w:tblStylePr>
    <w:tblStylePr w:type="band2Horz">
      <w:pPr>
        <w:wordWrap/>
        <w:spacing w:line="240" w:lineRule="auto"/>
        <w:jc w:val="left"/>
      </w:pPr>
      <w:rPr>
        <w:rFonts w:asciiTheme="minorHAnsi" w:hAnsiTheme="minorHAnsi"/>
        <w:b w:val="0"/>
        <w:color w:val="404040" w:themeColor="text1" w:themeTint="BF"/>
        <w:sz w:val="24"/>
      </w:rPr>
      <w:tblPr/>
      <w:tcPr>
        <w:tcBorders>
          <w:bottom w:val="dotted" w:sz="4" w:space="0" w:color="7F7F7F" w:themeColor="text1" w:themeTint="80"/>
        </w:tcBorders>
      </w:tcPr>
    </w:tblStylePr>
  </w:style>
  <w:style w:type="paragraph" w:styleId="Revision">
    <w:name w:val="Revision"/>
    <w:hidden/>
    <w:uiPriority w:val="99"/>
    <w:semiHidden/>
    <w:rsid w:val="00F91E66"/>
    <w:pPr>
      <w:spacing w:after="0" w:line="240" w:lineRule="auto"/>
    </w:pPr>
    <w:rPr>
      <w:rFonts w:ascii="Georgia" w:hAnsi="Georgia"/>
      <w:sz w:val="18"/>
    </w:rPr>
  </w:style>
  <w:style w:type="character" w:customStyle="1" w:styleId="Heading7Char">
    <w:name w:val="Heading 7 Char"/>
    <w:basedOn w:val="DefaultParagraphFont"/>
    <w:link w:val="Heading7"/>
    <w:uiPriority w:val="9"/>
    <w:rsid w:val="00502D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02DBA"/>
    <w:rPr>
      <w:rFonts w:asciiTheme="majorHAnsi" w:eastAsiaTheme="majorEastAsia" w:hAnsiTheme="majorHAnsi" w:cstheme="majorBidi"/>
      <w:color w:val="404040" w:themeColor="text1" w:themeTint="BF"/>
      <w:sz w:val="20"/>
      <w:szCs w:val="20"/>
    </w:rPr>
  </w:style>
  <w:style w:type="table" w:customStyle="1" w:styleId="TableGrid5">
    <w:name w:val="Table Grid5"/>
    <w:basedOn w:val="TableNormal"/>
    <w:next w:val="TableGrid"/>
    <w:uiPriority w:val="59"/>
    <w:rsid w:val="00502D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ettre d'introduction Char,List Paragraph1 Char,List Paragraph - bullets Char,Resume Title Char,Paperitemletter Char,Dot pt Char,Liste 1 Char,Unordered List Level 1 Char,Bullet list Char"/>
    <w:link w:val="ListParagraph"/>
    <w:uiPriority w:val="34"/>
    <w:locked/>
    <w:rsid w:val="00502DBA"/>
    <w:rPr>
      <w:rFonts w:ascii="Georgia" w:hAnsi="Georgia"/>
      <w:sz w:val="18"/>
    </w:rPr>
  </w:style>
  <w:style w:type="table" w:customStyle="1" w:styleId="TableGrid9">
    <w:name w:val="Table Grid9"/>
    <w:basedOn w:val="TableNormal"/>
    <w:next w:val="TableGrid"/>
    <w:uiPriority w:val="59"/>
    <w:rsid w:val="00502D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evel1">
    <w:name w:val="Numbered Level 1"/>
    <w:basedOn w:val="Normal"/>
    <w:rsid w:val="00502DBA"/>
    <w:pPr>
      <w:numPr>
        <w:numId w:val="9"/>
      </w:numPr>
      <w:spacing w:before="200" w:after="200" w:line="276" w:lineRule="auto"/>
      <w:jc w:val="both"/>
    </w:pPr>
    <w:rPr>
      <w:rFonts w:asciiTheme="minorHAnsi" w:eastAsiaTheme="minorEastAsia" w:hAnsiTheme="minorHAnsi"/>
      <w:sz w:val="20"/>
      <w:szCs w:val="20"/>
    </w:rPr>
  </w:style>
  <w:style w:type="table" w:customStyle="1" w:styleId="TableGrid8">
    <w:name w:val="Table Grid8"/>
    <w:basedOn w:val="TableNormal"/>
    <w:next w:val="TableGrid"/>
    <w:uiPriority w:val="59"/>
    <w:rsid w:val="00502D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02D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02D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02D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5">
    <w:name w:val="List Bullet 5"/>
    <w:basedOn w:val="Normal"/>
    <w:uiPriority w:val="99"/>
    <w:semiHidden/>
    <w:rsid w:val="00502DBA"/>
    <w:pPr>
      <w:numPr>
        <w:numId w:val="10"/>
      </w:numPr>
      <w:tabs>
        <w:tab w:val="clear" w:pos="1080"/>
        <w:tab w:val="num" w:pos="926"/>
        <w:tab w:val="num" w:pos="1492"/>
      </w:tabs>
      <w:spacing w:before="200" w:after="200" w:line="276" w:lineRule="auto"/>
      <w:ind w:left="1492"/>
    </w:pPr>
    <w:rPr>
      <w:rFonts w:asciiTheme="minorHAnsi" w:eastAsiaTheme="minorEastAsia" w:hAnsiTheme="minorHAnsi"/>
      <w:sz w:val="20"/>
      <w:szCs w:val="20"/>
    </w:rPr>
  </w:style>
  <w:style w:type="numbering" w:styleId="ArticleSection">
    <w:name w:val="Outline List 3"/>
    <w:basedOn w:val="NoList"/>
    <w:uiPriority w:val="99"/>
    <w:semiHidden/>
    <w:rsid w:val="00502DBA"/>
    <w:pPr>
      <w:numPr>
        <w:numId w:val="11"/>
      </w:numPr>
    </w:pPr>
  </w:style>
  <w:style w:type="paragraph" w:customStyle="1" w:styleId="BulletedLevel1">
    <w:name w:val="Bulleted Level 1"/>
    <w:basedOn w:val="Normal"/>
    <w:link w:val="BulletedLevel1Char"/>
    <w:rsid w:val="001A6640"/>
    <w:pPr>
      <w:numPr>
        <w:numId w:val="12"/>
      </w:numPr>
      <w:suppressAutoHyphens/>
      <w:spacing w:before="0" w:after="120" w:line="240" w:lineRule="atLeast"/>
    </w:pPr>
    <w:rPr>
      <w:rFonts w:eastAsia="Times New Roman" w:cs="Arial"/>
      <w:bCs/>
      <w:iCs/>
      <w:color w:val="000000"/>
      <w:lang w:val="en"/>
    </w:rPr>
  </w:style>
  <w:style w:type="character" w:customStyle="1" w:styleId="BulletedLevel1Char">
    <w:name w:val="Bulleted Level 1 Char"/>
    <w:basedOn w:val="DefaultParagraphFont"/>
    <w:link w:val="BulletedLevel1"/>
    <w:rsid w:val="001A6640"/>
    <w:rPr>
      <w:rFonts w:ascii="Georgia" w:eastAsia="Times New Roman" w:hAnsi="Georgia" w:cs="Arial"/>
      <w:bCs/>
      <w:iCs/>
      <w:color w:val="000000"/>
      <w:sz w:val="18"/>
      <w:lang w:val="en"/>
    </w:rPr>
  </w:style>
  <w:style w:type="paragraph" w:customStyle="1" w:styleId="Subtitle1">
    <w:name w:val="Subtitle1"/>
    <w:basedOn w:val="Covertitle"/>
    <w:qFormat/>
    <w:rsid w:val="00502DBA"/>
    <w:pPr>
      <w:spacing w:before="200" w:after="200" w:line="600" w:lineRule="exact"/>
    </w:pPr>
    <w:rPr>
      <w:rFonts w:ascii="Tw Cen MT Condensed" w:hAnsi="Tw Cen MT Condensed"/>
      <w:color w:val="595959"/>
      <w:sz w:val="60"/>
    </w:rPr>
  </w:style>
  <w:style w:type="paragraph" w:customStyle="1" w:styleId="Covertitle">
    <w:name w:val="Cover title"/>
    <w:link w:val="CovertitleChar"/>
    <w:rsid w:val="00502DBA"/>
    <w:pPr>
      <w:spacing w:after="0" w:line="240" w:lineRule="auto"/>
    </w:pPr>
    <w:rPr>
      <w:rFonts w:ascii="Georgia" w:eastAsia="Times New Roman" w:hAnsi="Georgia" w:cs="Arial"/>
      <w:bCs/>
      <w:iCs/>
      <w:sz w:val="70"/>
      <w:szCs w:val="84"/>
      <w:lang w:eastAsia="en-CA"/>
    </w:rPr>
  </w:style>
  <w:style w:type="character" w:customStyle="1" w:styleId="CovertitleChar">
    <w:name w:val="Cover title Char"/>
    <w:link w:val="Covertitle"/>
    <w:rsid w:val="00502DBA"/>
    <w:rPr>
      <w:rFonts w:ascii="Georgia" w:eastAsia="Times New Roman" w:hAnsi="Georgia" w:cs="Arial"/>
      <w:bCs/>
      <w:iCs/>
      <w:sz w:val="70"/>
      <w:szCs w:val="84"/>
      <w:lang w:eastAsia="en-CA"/>
    </w:rPr>
  </w:style>
  <w:style w:type="character" w:styleId="LineNumber">
    <w:name w:val="line number"/>
    <w:basedOn w:val="DefaultParagraphFont"/>
    <w:uiPriority w:val="99"/>
    <w:semiHidden/>
    <w:unhideWhenUsed/>
    <w:rsid w:val="00502DBA"/>
  </w:style>
  <w:style w:type="table" w:styleId="LightList-Accent1">
    <w:name w:val="Light List Accent 1"/>
    <w:basedOn w:val="TableNormal"/>
    <w:uiPriority w:val="61"/>
    <w:rsid w:val="00502DBA"/>
    <w:pPr>
      <w:spacing w:before="200"/>
    </w:pPr>
    <w:tblPr>
      <w:tblStyleRowBandSize w:val="1"/>
      <w:tblStyleColBandSize w:val="1"/>
      <w:tblBorders>
        <w:top w:val="single" w:sz="8" w:space="0" w:color="00B9E4" w:themeColor="accent1"/>
        <w:left w:val="single" w:sz="8" w:space="0" w:color="00B9E4" w:themeColor="accent1"/>
        <w:bottom w:val="single" w:sz="8" w:space="0" w:color="00B9E4" w:themeColor="accent1"/>
        <w:right w:val="single" w:sz="8" w:space="0" w:color="00B9E4" w:themeColor="accent1"/>
      </w:tblBorders>
    </w:tblPr>
    <w:tblStylePr w:type="firstRow">
      <w:pPr>
        <w:spacing w:before="0" w:after="0" w:line="240" w:lineRule="auto"/>
      </w:pPr>
      <w:rPr>
        <w:b/>
        <w:bCs/>
        <w:color w:val="FFFFFF" w:themeColor="background1"/>
      </w:rPr>
      <w:tblPr/>
      <w:tcPr>
        <w:shd w:val="clear" w:color="auto" w:fill="00B9E4" w:themeFill="accent1"/>
      </w:tcPr>
    </w:tblStylePr>
    <w:tblStylePr w:type="lastRow">
      <w:pPr>
        <w:spacing w:before="0" w:after="0" w:line="240" w:lineRule="auto"/>
      </w:pPr>
      <w:rPr>
        <w:b/>
        <w:bCs/>
      </w:rPr>
      <w:tblPr/>
      <w:tcPr>
        <w:tcBorders>
          <w:top w:val="double" w:sz="6" w:space="0" w:color="00B9E4" w:themeColor="accent1"/>
          <w:left w:val="single" w:sz="8" w:space="0" w:color="00B9E4" w:themeColor="accent1"/>
          <w:bottom w:val="single" w:sz="8" w:space="0" w:color="00B9E4" w:themeColor="accent1"/>
          <w:right w:val="single" w:sz="8" w:space="0" w:color="00B9E4" w:themeColor="accent1"/>
        </w:tcBorders>
      </w:tcPr>
    </w:tblStylePr>
    <w:tblStylePr w:type="firstCol">
      <w:rPr>
        <w:b/>
        <w:bCs/>
      </w:rPr>
    </w:tblStylePr>
    <w:tblStylePr w:type="lastCol">
      <w:rPr>
        <w:b/>
        <w:bCs/>
      </w:rPr>
    </w:tblStylePr>
    <w:tblStylePr w:type="band1Vert">
      <w:tblPr/>
      <w:tcPr>
        <w:tcBorders>
          <w:top w:val="single" w:sz="8" w:space="0" w:color="00B9E4" w:themeColor="accent1"/>
          <w:left w:val="single" w:sz="8" w:space="0" w:color="00B9E4" w:themeColor="accent1"/>
          <w:bottom w:val="single" w:sz="8" w:space="0" w:color="00B9E4" w:themeColor="accent1"/>
          <w:right w:val="single" w:sz="8" w:space="0" w:color="00B9E4" w:themeColor="accent1"/>
        </w:tcBorders>
      </w:tcPr>
    </w:tblStylePr>
    <w:tblStylePr w:type="band1Horz">
      <w:tblPr/>
      <w:tcPr>
        <w:tcBorders>
          <w:top w:val="single" w:sz="8" w:space="0" w:color="00B9E4" w:themeColor="accent1"/>
          <w:left w:val="single" w:sz="8" w:space="0" w:color="00B9E4" w:themeColor="accent1"/>
          <w:bottom w:val="single" w:sz="8" w:space="0" w:color="00B9E4" w:themeColor="accent1"/>
          <w:right w:val="single" w:sz="8" w:space="0" w:color="00B9E4" w:themeColor="accent1"/>
        </w:tcBorders>
      </w:tcPr>
    </w:tblStylePr>
  </w:style>
  <w:style w:type="paragraph" w:styleId="DocumentMap">
    <w:name w:val="Document Map"/>
    <w:basedOn w:val="Normal"/>
    <w:link w:val="DocumentMapChar"/>
    <w:uiPriority w:val="99"/>
    <w:semiHidden/>
    <w:unhideWhenUsed/>
    <w:rsid w:val="00502DBA"/>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02DBA"/>
    <w:rPr>
      <w:rFonts w:ascii="Lucida Grande" w:hAnsi="Lucida Grande" w:cs="Lucida Grande"/>
      <w:sz w:val="24"/>
      <w:szCs w:val="24"/>
    </w:rPr>
  </w:style>
  <w:style w:type="character" w:customStyle="1" w:styleId="apple-converted-space">
    <w:name w:val="apple-converted-space"/>
    <w:basedOn w:val="DefaultParagraphFont"/>
    <w:rsid w:val="00502DBA"/>
    <w:rPr>
      <w:rFonts w:ascii="Times New Roman" w:hAnsi="Times New Roman" w:cs="Times New Roman" w:hint="default"/>
    </w:rPr>
  </w:style>
  <w:style w:type="paragraph" w:customStyle="1" w:styleId="Default">
    <w:name w:val="Default"/>
    <w:rsid w:val="00502DBA"/>
    <w:pPr>
      <w:autoSpaceDE w:val="0"/>
      <w:autoSpaceDN w:val="0"/>
      <w:adjustRightInd w:val="0"/>
      <w:spacing w:after="0" w:line="240" w:lineRule="auto"/>
    </w:pPr>
    <w:rPr>
      <w:rFonts w:ascii="Calibri" w:hAnsi="Calibri" w:cs="Calibri"/>
      <w:color w:val="000000"/>
      <w:sz w:val="24"/>
      <w:szCs w:val="24"/>
    </w:rPr>
  </w:style>
  <w:style w:type="paragraph" w:customStyle="1" w:styleId="UnnumberedHeading2">
    <w:name w:val="Unnumbered Heading 2"/>
    <w:basedOn w:val="Heading2"/>
    <w:qFormat/>
    <w:rsid w:val="00502DBA"/>
    <w:pPr>
      <w:numPr>
        <w:ilvl w:val="0"/>
        <w:numId w:val="0"/>
      </w:numPr>
      <w:tabs>
        <w:tab w:val="clear" w:pos="720"/>
      </w:tabs>
      <w:spacing w:before="480" w:after="240" w:line="276" w:lineRule="auto"/>
    </w:pPr>
    <w:rPr>
      <w:rFonts w:asciiTheme="majorHAnsi" w:hAnsiTheme="majorHAnsi"/>
      <w:b w:val="0"/>
      <w:color w:val="00B9E4" w:themeColor="accent1"/>
      <w:sz w:val="28"/>
      <w:lang w:bidi="en-US"/>
    </w:rPr>
  </w:style>
  <w:style w:type="character" w:customStyle="1" w:styleId="st">
    <w:name w:val="st"/>
    <w:basedOn w:val="DefaultParagraphFont"/>
    <w:rsid w:val="00502DBA"/>
  </w:style>
  <w:style w:type="character" w:customStyle="1" w:styleId="TableTextCharChar">
    <w:name w:val="Table Text Char Char"/>
    <w:link w:val="TableText"/>
    <w:rsid w:val="001C5A44"/>
    <w:rPr>
      <w:rFonts w:ascii="Calibri" w:hAnsi="Calibri"/>
      <w:spacing w:val="-2"/>
      <w:sz w:val="18"/>
    </w:rPr>
  </w:style>
  <w:style w:type="paragraph" w:customStyle="1" w:styleId="Guidance">
    <w:name w:val="Guidance"/>
    <w:basedOn w:val="Normal"/>
    <w:link w:val="GuidanceChar"/>
    <w:qFormat/>
    <w:rsid w:val="00502DBA"/>
    <w:pPr>
      <w:shd w:val="clear" w:color="auto" w:fill="FBD4B4"/>
      <w:spacing w:before="0" w:after="120"/>
    </w:pPr>
    <w:rPr>
      <w:rFonts w:ascii="Calibri" w:hAnsi="Calibri" w:cs="Times New Roman"/>
      <w:bCs/>
      <w:iCs/>
      <w:sz w:val="22"/>
    </w:rPr>
  </w:style>
  <w:style w:type="character" w:customStyle="1" w:styleId="GuidanceChar">
    <w:name w:val="Guidance Char"/>
    <w:link w:val="Guidance"/>
    <w:rsid w:val="00502DBA"/>
    <w:rPr>
      <w:rFonts w:ascii="Calibri" w:hAnsi="Calibri" w:cs="Times New Roman"/>
      <w:bCs/>
      <w:iCs/>
      <w:shd w:val="clear" w:color="auto" w:fill="FBD4B4"/>
    </w:rPr>
  </w:style>
  <w:style w:type="paragraph" w:customStyle="1" w:styleId="BodyTextBullet">
    <w:name w:val="Body Text Bullet"/>
    <w:basedOn w:val="Normal"/>
    <w:qFormat/>
    <w:rsid w:val="001A6640"/>
    <w:pPr>
      <w:numPr>
        <w:numId w:val="13"/>
      </w:numPr>
      <w:tabs>
        <w:tab w:val="num" w:pos="360"/>
        <w:tab w:val="num" w:pos="1080"/>
      </w:tabs>
      <w:spacing w:before="0" w:after="0" w:line="240" w:lineRule="auto"/>
      <w:ind w:left="0" w:firstLine="0"/>
    </w:pPr>
    <w:rPr>
      <w:sz w:val="20"/>
    </w:rPr>
  </w:style>
  <w:style w:type="paragraph" w:customStyle="1" w:styleId="TableTitle">
    <w:name w:val="Table Title"/>
    <w:basedOn w:val="Normal"/>
    <w:qFormat/>
    <w:rsid w:val="001A6640"/>
    <w:pPr>
      <w:keepNext/>
      <w:numPr>
        <w:numId w:val="15"/>
      </w:numPr>
      <w:spacing w:before="180" w:line="276" w:lineRule="auto"/>
      <w:ind w:left="630" w:hanging="630"/>
    </w:pPr>
    <w:rPr>
      <w:rFonts w:asciiTheme="majorHAnsi" w:hAnsiTheme="majorHAnsi"/>
      <w:b/>
      <w:sz w:val="20"/>
    </w:rPr>
  </w:style>
  <w:style w:type="character" w:customStyle="1" w:styleId="CaptionChar">
    <w:name w:val="Caption Char"/>
    <w:basedOn w:val="DefaultParagraphFont"/>
    <w:link w:val="Caption"/>
    <w:uiPriority w:val="35"/>
    <w:rsid w:val="002C3438"/>
    <w:rPr>
      <w:rFonts w:ascii="Georgia" w:hAnsi="Georgia"/>
      <w:b/>
      <w:bCs/>
      <w:color w:val="000000" w:themeColor="text1"/>
      <w:sz w:val="18"/>
      <w:szCs w:val="18"/>
    </w:rPr>
  </w:style>
  <w:style w:type="paragraph" w:customStyle="1" w:styleId="Graphic">
    <w:name w:val="Graphic"/>
    <w:basedOn w:val="Normal"/>
    <w:next w:val="Figure"/>
    <w:qFormat/>
    <w:rsid w:val="001A6640"/>
    <w:pPr>
      <w:keepNext/>
      <w:spacing w:before="200" w:line="276" w:lineRule="auto"/>
    </w:pPr>
    <w:rPr>
      <w:rFonts w:eastAsia="Calibri"/>
      <w:noProof/>
      <w:sz w:val="20"/>
    </w:rPr>
  </w:style>
  <w:style w:type="paragraph" w:customStyle="1" w:styleId="text-medium">
    <w:name w:val="text-medium"/>
    <w:basedOn w:val="Normal"/>
    <w:rsid w:val="00BE4AAD"/>
    <w:pPr>
      <w:spacing w:beforeAutospacing="1" w:afterAutospacing="1" w:line="240" w:lineRule="auto"/>
    </w:pPr>
    <w:rPr>
      <w:rFonts w:ascii="Times New Roman" w:eastAsia="Times New Roman" w:hAnsi="Times New Roman" w:cs="Times New Roman"/>
      <w:sz w:val="24"/>
      <w:szCs w:val="24"/>
    </w:rPr>
  </w:style>
  <w:style w:type="character" w:customStyle="1" w:styleId="text-medium1">
    <w:name w:val="text-medium1"/>
    <w:basedOn w:val="DefaultParagraphFont"/>
    <w:rsid w:val="00BE4AAD"/>
  </w:style>
  <w:style w:type="paragraph" w:customStyle="1" w:styleId="author">
    <w:name w:val="author"/>
    <w:basedOn w:val="Normal"/>
    <w:rsid w:val="00DF0FDB"/>
    <w:pPr>
      <w:spacing w:beforeAutospacing="1" w:afterAutospacing="1" w:line="240" w:lineRule="auto"/>
    </w:pPr>
    <w:rPr>
      <w:rFonts w:ascii="Times New Roman" w:eastAsia="Times New Roman" w:hAnsi="Times New Roman" w:cs="Times New Roman"/>
      <w:sz w:val="24"/>
      <w:szCs w:val="24"/>
    </w:rPr>
  </w:style>
  <w:style w:type="character" w:customStyle="1" w:styleId="inline-comment-marker">
    <w:name w:val="inline-comment-marker"/>
    <w:basedOn w:val="DefaultParagraphFont"/>
    <w:rsid w:val="00E05508"/>
  </w:style>
  <w:style w:type="character" w:customStyle="1" w:styleId="valid">
    <w:name w:val="valid"/>
    <w:basedOn w:val="DefaultParagraphFont"/>
    <w:rsid w:val="00E17252"/>
  </w:style>
  <w:style w:type="character" w:customStyle="1" w:styleId="code1">
    <w:name w:val="code1"/>
    <w:basedOn w:val="DefaultParagraphFont"/>
    <w:rsid w:val="00E17252"/>
    <w:rPr>
      <w:shd w:val="clear" w:color="auto" w:fill="FFFFFF"/>
    </w:rPr>
  </w:style>
  <w:style w:type="paragraph" w:customStyle="1" w:styleId="EndNotesTitle">
    <w:name w:val="EndNotes Title"/>
    <w:basedOn w:val="Heading1"/>
    <w:qFormat/>
    <w:rsid w:val="00DF6370"/>
    <w:pPr>
      <w:numPr>
        <w:numId w:val="0"/>
      </w:numPr>
    </w:pPr>
  </w:style>
  <w:style w:type="paragraph" w:customStyle="1" w:styleId="CoverDate">
    <w:name w:val="Cover Date"/>
    <w:basedOn w:val="Subtitle"/>
    <w:qFormat/>
    <w:rsid w:val="00A87EC7"/>
    <w:rPr>
      <w:sz w:val="26"/>
    </w:rPr>
  </w:style>
  <w:style w:type="paragraph" w:customStyle="1" w:styleId="TableTitles">
    <w:name w:val="Table Titles"/>
    <w:basedOn w:val="Heading2"/>
    <w:next w:val="Normal"/>
    <w:qFormat/>
    <w:rsid w:val="00D24894"/>
    <w:pPr>
      <w:numPr>
        <w:ilvl w:val="0"/>
        <w:numId w:val="0"/>
      </w:numPr>
      <w:pBdr>
        <w:top w:val="single" w:sz="4" w:space="6" w:color="00B2E3"/>
      </w:pBdr>
      <w:tabs>
        <w:tab w:val="clear" w:pos="720"/>
      </w:tabs>
      <w:spacing w:before="240"/>
    </w:pPr>
    <w:rPr>
      <w:rFonts w:cs="Times New Roman (Headings CS)"/>
      <w:bCs w:val="0"/>
      <w:color w:val="808080" w:themeColor="background1" w:themeShade="80"/>
      <w:lang w:val="en-US" w:eastAsia="ja-JP"/>
    </w:rPr>
  </w:style>
  <w:style w:type="paragraph" w:styleId="BodyText">
    <w:name w:val="Body Text"/>
    <w:basedOn w:val="Normal"/>
    <w:link w:val="BodyTextChar"/>
    <w:uiPriority w:val="99"/>
    <w:unhideWhenUsed/>
    <w:rsid w:val="00AE5648"/>
    <w:pPr>
      <w:spacing w:line="288" w:lineRule="auto"/>
    </w:pPr>
  </w:style>
  <w:style w:type="character" w:customStyle="1" w:styleId="BodyTextChar">
    <w:name w:val="Body Text Char"/>
    <w:basedOn w:val="DefaultParagraphFont"/>
    <w:link w:val="BodyText"/>
    <w:uiPriority w:val="99"/>
    <w:rsid w:val="00AE5648"/>
    <w:rPr>
      <w:rFonts w:ascii="Georgia" w:hAnsi="Georgia"/>
      <w:sz w:val="18"/>
    </w:rPr>
  </w:style>
  <w:style w:type="table" w:styleId="GridTable6Colorful">
    <w:name w:val="Grid Table 6 Colorful"/>
    <w:basedOn w:val="TableNormal"/>
    <w:uiPriority w:val="51"/>
    <w:rsid w:val="005323F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DefinitionsGrid11">
    <w:name w:val="Table Definitions Grid11"/>
    <w:basedOn w:val="TableNormal"/>
    <w:next w:val="TableGrid"/>
    <w:uiPriority w:val="39"/>
    <w:rsid w:val="008A2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83BA6"/>
    <w:rPr>
      <w:color w:val="605E5C"/>
      <w:shd w:val="clear" w:color="auto" w:fill="E1DFDD"/>
    </w:rPr>
  </w:style>
  <w:style w:type="paragraph" w:customStyle="1" w:styleId="Version">
    <w:name w:val="Version"/>
    <w:basedOn w:val="BodyCopy"/>
    <w:link w:val="VersionChar"/>
    <w:autoRedefine/>
    <w:rsid w:val="005D764A"/>
    <w:pPr>
      <w:spacing w:after="0" w:line="360" w:lineRule="auto"/>
    </w:pPr>
    <w:rPr>
      <w:b/>
      <w:color w:val="7030A0"/>
    </w:rPr>
  </w:style>
  <w:style w:type="character" w:customStyle="1" w:styleId="CharTitle">
    <w:name w:val="Char Title"/>
    <w:basedOn w:val="DefaultParagraphFont"/>
    <w:semiHidden/>
    <w:rsid w:val="005D764A"/>
    <w:rPr>
      <w:rFonts w:cs="Times New Roman"/>
      <w:b/>
      <w:i/>
    </w:rPr>
  </w:style>
  <w:style w:type="paragraph" w:customStyle="1" w:styleId="BodyCopy">
    <w:name w:val="Body Copy"/>
    <w:basedOn w:val="Normal"/>
    <w:link w:val="BodyCopyCharChar"/>
    <w:qFormat/>
    <w:rsid w:val="005D764A"/>
    <w:pPr>
      <w:spacing w:before="200" w:after="200" w:line="276" w:lineRule="auto"/>
      <w:jc w:val="both"/>
    </w:pPr>
    <w:rPr>
      <w:rFonts w:asciiTheme="minorHAnsi" w:eastAsiaTheme="minorEastAsia" w:hAnsiTheme="minorHAnsi"/>
      <w:sz w:val="20"/>
      <w:szCs w:val="20"/>
    </w:rPr>
  </w:style>
  <w:style w:type="paragraph" w:styleId="List">
    <w:name w:val="List"/>
    <w:basedOn w:val="Normal"/>
    <w:uiPriority w:val="99"/>
    <w:semiHidden/>
    <w:rsid w:val="005D764A"/>
    <w:pPr>
      <w:spacing w:before="200" w:after="200" w:line="276" w:lineRule="auto"/>
      <w:ind w:left="283" w:hanging="283"/>
    </w:pPr>
    <w:rPr>
      <w:rFonts w:asciiTheme="minorHAnsi" w:eastAsiaTheme="minorEastAsia" w:hAnsiTheme="minorHAnsi"/>
      <w:sz w:val="20"/>
      <w:szCs w:val="20"/>
    </w:rPr>
  </w:style>
  <w:style w:type="paragraph" w:customStyle="1" w:styleId="strikeout">
    <w:name w:val="strike out"/>
    <w:basedOn w:val="PlainText"/>
    <w:semiHidden/>
    <w:rsid w:val="005D764A"/>
    <w:pPr>
      <w:spacing w:before="200" w:after="200" w:line="276" w:lineRule="auto"/>
      <w:jc w:val="both"/>
    </w:pPr>
    <w:rPr>
      <w:rFonts w:ascii="Arial" w:eastAsiaTheme="minorEastAsia" w:hAnsi="Arial" w:cs="Times New Roman"/>
      <w:strike/>
      <w:sz w:val="22"/>
      <w:szCs w:val="20"/>
    </w:rPr>
  </w:style>
  <w:style w:type="paragraph" w:customStyle="1" w:styleId="Title1">
    <w:name w:val="Title 1"/>
    <w:basedOn w:val="Normal"/>
    <w:next w:val="Normal"/>
    <w:semiHidden/>
    <w:rsid w:val="005D764A"/>
    <w:pPr>
      <w:spacing w:before="200" w:after="200" w:line="276" w:lineRule="auto"/>
    </w:pPr>
    <w:rPr>
      <w:rFonts w:asciiTheme="minorHAnsi" w:eastAsiaTheme="minorEastAsia" w:hAnsiTheme="minorHAnsi" w:cs="Lucida Sans Unicode"/>
      <w:sz w:val="48"/>
      <w:szCs w:val="48"/>
    </w:rPr>
  </w:style>
  <w:style w:type="paragraph" w:customStyle="1" w:styleId="Title2">
    <w:name w:val="Title 2"/>
    <w:basedOn w:val="Normal"/>
    <w:semiHidden/>
    <w:rsid w:val="005D764A"/>
    <w:pPr>
      <w:spacing w:before="200" w:after="200" w:line="276" w:lineRule="auto"/>
    </w:pPr>
    <w:rPr>
      <w:rFonts w:asciiTheme="minorHAnsi" w:eastAsiaTheme="minorEastAsia" w:hAnsiTheme="minorHAnsi" w:cs="Lucida Sans Unicode"/>
      <w:sz w:val="36"/>
      <w:szCs w:val="36"/>
    </w:rPr>
  </w:style>
  <w:style w:type="paragraph" w:customStyle="1" w:styleId="Title3">
    <w:name w:val="Title 3"/>
    <w:basedOn w:val="Normal"/>
    <w:semiHidden/>
    <w:rsid w:val="005D764A"/>
    <w:pPr>
      <w:spacing w:before="200" w:after="200" w:line="276" w:lineRule="auto"/>
    </w:pPr>
    <w:rPr>
      <w:rFonts w:asciiTheme="minorHAnsi" w:eastAsiaTheme="minorEastAsia" w:hAnsiTheme="minorHAnsi" w:cs="Lucida Sans Unicode"/>
      <w:sz w:val="28"/>
      <w:szCs w:val="28"/>
    </w:rPr>
  </w:style>
  <w:style w:type="character" w:customStyle="1" w:styleId="DefinedTerm">
    <w:name w:val="Defined Term"/>
    <w:basedOn w:val="DefaultParagraphFont"/>
    <w:semiHidden/>
    <w:rsid w:val="005D764A"/>
    <w:rPr>
      <w:rFonts w:cs="Lucida Sans Unicode"/>
      <w:i/>
      <w:sz w:val="20"/>
      <w:szCs w:val="20"/>
    </w:rPr>
  </w:style>
  <w:style w:type="paragraph" w:customStyle="1" w:styleId="Title-Non-TOC">
    <w:name w:val="Title - Non-TOC"/>
    <w:next w:val="Normal"/>
    <w:rsid w:val="005D764A"/>
    <w:pPr>
      <w:pageBreakBefore/>
      <w:spacing w:before="200" w:line="600" w:lineRule="atLeast"/>
    </w:pPr>
    <w:rPr>
      <w:rFonts w:ascii="Tw Cen MT Condensed" w:eastAsiaTheme="minorEastAsia" w:hAnsi="Tw Cen MT Condensed" w:cs="Arial"/>
      <w:b/>
      <w:bCs/>
      <w:kern w:val="32"/>
      <w:sz w:val="70"/>
      <w:szCs w:val="32"/>
      <w:lang w:val="en-CA" w:eastAsia="en-CA"/>
    </w:rPr>
  </w:style>
  <w:style w:type="character" w:customStyle="1" w:styleId="VersionChar">
    <w:name w:val="Version Char"/>
    <w:basedOn w:val="BodyCopyCharChar"/>
    <w:link w:val="Version"/>
    <w:locked/>
    <w:rsid w:val="005D764A"/>
    <w:rPr>
      <w:rFonts w:eastAsiaTheme="minorEastAsia"/>
      <w:b/>
      <w:color w:val="7030A0"/>
      <w:sz w:val="20"/>
      <w:szCs w:val="20"/>
    </w:rPr>
  </w:style>
  <w:style w:type="paragraph" w:customStyle="1" w:styleId="DocAlphaList">
    <w:name w:val="Doc_Alpha List"/>
    <w:basedOn w:val="Normal"/>
    <w:semiHidden/>
    <w:rsid w:val="005D764A"/>
    <w:pPr>
      <w:numPr>
        <w:numId w:val="17"/>
      </w:numPr>
      <w:spacing w:before="200" w:after="240" w:line="276" w:lineRule="auto"/>
    </w:pPr>
    <w:rPr>
      <w:rFonts w:asciiTheme="minorHAnsi" w:eastAsiaTheme="minorEastAsia" w:hAnsiTheme="minorHAnsi"/>
      <w:sz w:val="20"/>
      <w:szCs w:val="20"/>
    </w:rPr>
  </w:style>
  <w:style w:type="character" w:customStyle="1" w:styleId="BodyCopyCharChar">
    <w:name w:val="Body Copy Char Char"/>
    <w:basedOn w:val="DefaultParagraphFont"/>
    <w:link w:val="BodyCopy"/>
    <w:locked/>
    <w:rsid w:val="005D764A"/>
    <w:rPr>
      <w:rFonts w:eastAsiaTheme="minorEastAsia"/>
      <w:sz w:val="20"/>
      <w:szCs w:val="20"/>
    </w:rPr>
  </w:style>
  <w:style w:type="paragraph" w:customStyle="1" w:styleId="TableCaption">
    <w:name w:val="Table Caption"/>
    <w:basedOn w:val="BodyCopy"/>
    <w:next w:val="BodyCopy"/>
    <w:autoRedefine/>
    <w:rsid w:val="005D764A"/>
    <w:pPr>
      <w:tabs>
        <w:tab w:val="left" w:pos="1584"/>
      </w:tabs>
      <w:ind w:left="1599" w:hanging="737"/>
    </w:pPr>
    <w:rPr>
      <w:i/>
    </w:rPr>
  </w:style>
  <w:style w:type="table" w:customStyle="1" w:styleId="DataTable">
    <w:name w:val="DataTable"/>
    <w:basedOn w:val="InfoTable"/>
    <w:rsid w:val="005D764A"/>
    <w:pPr>
      <w:spacing w:before="200" w:after="200" w:line="276" w:lineRule="auto"/>
    </w:pPr>
    <w:rPr>
      <w:rFonts w:eastAsiaTheme="minorEastAsia" w:cstheme="minorBidi"/>
    </w:rPr>
    <w:tblPr>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Pr>
    <w:tcPr>
      <w:shd w:val="clear" w:color="auto" w:fill="auto"/>
    </w:tcPr>
    <w:tblStylePr w:type="firstRow">
      <w:pPr>
        <w:jc w:val="left"/>
      </w:pPr>
      <w:rPr>
        <w:rFonts w:ascii="Times New Roman" w:hAnsi="Times New Roman" w:cs="Times New Roman"/>
        <w:b w:val="0"/>
        <w:bCs/>
        <w:color w:val="FFFFFF"/>
        <w:sz w:val="24"/>
      </w:rPr>
      <w:tblPr/>
      <w:tcPr>
        <w:tcBorders>
          <w:top w:val="nil"/>
          <w:left w:val="nil"/>
          <w:bottom w:val="nil"/>
          <w:right w:val="nil"/>
          <w:insideH w:val="nil"/>
          <w:insideV w:val="nil"/>
          <w:tl2br w:val="nil"/>
          <w:tr2bl w:val="nil"/>
        </w:tcBorders>
        <w:shd w:val="solid" w:color="000000" w:fill="000000"/>
      </w:tcPr>
    </w:tblStylePr>
  </w:style>
  <w:style w:type="paragraph" w:customStyle="1" w:styleId="StyleDocNormalCharBold">
    <w:name w:val="Style Doc_Normal Char + Bold"/>
    <w:basedOn w:val="Normal"/>
    <w:link w:val="StyleDocNormalCharBoldChar"/>
    <w:semiHidden/>
    <w:rsid w:val="005D764A"/>
    <w:pPr>
      <w:spacing w:before="120" w:after="180" w:line="276" w:lineRule="auto"/>
      <w:ind w:left="902"/>
    </w:pPr>
    <w:rPr>
      <w:rFonts w:asciiTheme="minorHAnsi" w:eastAsiaTheme="minorEastAsia" w:hAnsiTheme="minorHAnsi"/>
      <w:b/>
      <w:bCs/>
      <w:sz w:val="20"/>
      <w:szCs w:val="20"/>
    </w:rPr>
  </w:style>
  <w:style w:type="table" w:customStyle="1" w:styleId="LightShading1">
    <w:name w:val="Light Shading1"/>
    <w:basedOn w:val="TableNormal"/>
    <w:uiPriority w:val="60"/>
    <w:rsid w:val="005D764A"/>
    <w:pPr>
      <w:spacing w:before="200"/>
    </w:pPr>
    <w:rPr>
      <w:rFonts w:eastAsiaTheme="minorEastAsia"/>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TableText0">
    <w:name w:val="TableText"/>
    <w:basedOn w:val="Normal"/>
    <w:autoRedefine/>
    <w:rsid w:val="005D764A"/>
    <w:pPr>
      <w:spacing w:before="200" w:after="200" w:line="276" w:lineRule="auto"/>
    </w:pPr>
    <w:rPr>
      <w:rFonts w:asciiTheme="minorHAnsi" w:eastAsiaTheme="minorEastAsia" w:hAnsiTheme="minorHAnsi"/>
      <w:sz w:val="20"/>
      <w:szCs w:val="18"/>
    </w:rPr>
  </w:style>
  <w:style w:type="character" w:customStyle="1" w:styleId="StyleDocNormalCharBoldChar">
    <w:name w:val="Style Doc_Normal Char + Bold Char"/>
    <w:basedOn w:val="DefaultParagraphFont"/>
    <w:link w:val="StyleDocNormalCharBold"/>
    <w:semiHidden/>
    <w:locked/>
    <w:rsid w:val="005D764A"/>
    <w:rPr>
      <w:rFonts w:eastAsiaTheme="minorEastAsia"/>
      <w:b/>
      <w:bCs/>
      <w:sz w:val="20"/>
      <w:szCs w:val="20"/>
    </w:rPr>
  </w:style>
  <w:style w:type="paragraph" w:styleId="BodyTextIndent3">
    <w:name w:val="Body Text Indent 3"/>
    <w:basedOn w:val="Normal"/>
    <w:link w:val="BodyTextIndent3Char"/>
    <w:uiPriority w:val="99"/>
    <w:semiHidden/>
    <w:rsid w:val="005D764A"/>
    <w:pPr>
      <w:spacing w:before="200" w:after="120" w:line="276" w:lineRule="auto"/>
      <w:ind w:left="283"/>
    </w:pPr>
    <w:rPr>
      <w:rFonts w:asciiTheme="minorHAnsi" w:eastAsiaTheme="minorEastAsia" w:hAnsiTheme="minorHAnsi"/>
      <w:sz w:val="16"/>
      <w:szCs w:val="16"/>
    </w:rPr>
  </w:style>
  <w:style w:type="character" w:customStyle="1" w:styleId="BodyTextIndent3Char">
    <w:name w:val="Body Text Indent 3 Char"/>
    <w:basedOn w:val="DefaultParagraphFont"/>
    <w:link w:val="BodyTextIndent3"/>
    <w:uiPriority w:val="99"/>
    <w:semiHidden/>
    <w:rsid w:val="005D764A"/>
    <w:rPr>
      <w:rFonts w:eastAsiaTheme="minorEastAsia"/>
      <w:sz w:val="16"/>
      <w:szCs w:val="16"/>
    </w:rPr>
  </w:style>
  <w:style w:type="paragraph" w:styleId="BodyText2">
    <w:name w:val="Body Text 2"/>
    <w:basedOn w:val="Normal"/>
    <w:link w:val="BodyText2Char"/>
    <w:uiPriority w:val="99"/>
    <w:semiHidden/>
    <w:rsid w:val="005D764A"/>
    <w:pPr>
      <w:spacing w:before="200" w:after="120" w:line="480" w:lineRule="auto"/>
    </w:pPr>
    <w:rPr>
      <w:rFonts w:asciiTheme="minorHAnsi" w:eastAsiaTheme="minorEastAsia" w:hAnsiTheme="minorHAnsi"/>
      <w:sz w:val="20"/>
      <w:szCs w:val="20"/>
    </w:rPr>
  </w:style>
  <w:style w:type="character" w:customStyle="1" w:styleId="BodyText2Char">
    <w:name w:val="Body Text 2 Char"/>
    <w:basedOn w:val="DefaultParagraphFont"/>
    <w:link w:val="BodyText2"/>
    <w:uiPriority w:val="99"/>
    <w:semiHidden/>
    <w:rsid w:val="005D764A"/>
    <w:rPr>
      <w:rFonts w:eastAsiaTheme="minorEastAsia"/>
      <w:sz w:val="20"/>
      <w:szCs w:val="20"/>
    </w:rPr>
  </w:style>
  <w:style w:type="paragraph" w:styleId="BlockText">
    <w:name w:val="Block Text"/>
    <w:basedOn w:val="Normal"/>
    <w:uiPriority w:val="99"/>
    <w:semiHidden/>
    <w:rsid w:val="005D764A"/>
    <w:pPr>
      <w:spacing w:before="200" w:after="120" w:line="276" w:lineRule="auto"/>
      <w:ind w:left="1440" w:right="1440"/>
    </w:pPr>
    <w:rPr>
      <w:rFonts w:asciiTheme="minorHAnsi" w:eastAsiaTheme="minorEastAsia" w:hAnsiTheme="minorHAnsi"/>
      <w:sz w:val="20"/>
      <w:szCs w:val="20"/>
    </w:rPr>
  </w:style>
  <w:style w:type="paragraph" w:styleId="BodyText3">
    <w:name w:val="Body Text 3"/>
    <w:basedOn w:val="Normal"/>
    <w:link w:val="BodyText3Char"/>
    <w:uiPriority w:val="99"/>
    <w:semiHidden/>
    <w:rsid w:val="005D764A"/>
    <w:pPr>
      <w:spacing w:before="200" w:after="120" w:line="276" w:lineRule="auto"/>
    </w:pPr>
    <w:rPr>
      <w:rFonts w:asciiTheme="minorHAnsi" w:eastAsiaTheme="minorEastAsia" w:hAnsiTheme="minorHAnsi"/>
      <w:sz w:val="16"/>
      <w:szCs w:val="16"/>
    </w:rPr>
  </w:style>
  <w:style w:type="character" w:customStyle="1" w:styleId="BodyText3Char">
    <w:name w:val="Body Text 3 Char"/>
    <w:basedOn w:val="DefaultParagraphFont"/>
    <w:link w:val="BodyText3"/>
    <w:uiPriority w:val="99"/>
    <w:semiHidden/>
    <w:rsid w:val="005D764A"/>
    <w:rPr>
      <w:rFonts w:eastAsiaTheme="minorEastAsia"/>
      <w:sz w:val="16"/>
      <w:szCs w:val="16"/>
    </w:rPr>
  </w:style>
  <w:style w:type="paragraph" w:styleId="BodyTextFirstIndent">
    <w:name w:val="Body Text First Indent"/>
    <w:basedOn w:val="BodyText"/>
    <w:link w:val="BodyTextFirstIndentChar"/>
    <w:uiPriority w:val="99"/>
    <w:semiHidden/>
    <w:rsid w:val="005D764A"/>
    <w:pPr>
      <w:spacing w:before="200" w:after="120" w:line="276" w:lineRule="auto"/>
      <w:ind w:firstLine="210"/>
    </w:pPr>
    <w:rPr>
      <w:rFonts w:ascii="Lucida Sans Unicode" w:eastAsiaTheme="minorEastAsia" w:hAnsi="Lucida Sans Unicode" w:cs="Times New Roman"/>
      <w:sz w:val="20"/>
      <w:szCs w:val="24"/>
      <w:lang w:val="en-CA" w:eastAsia="en-CA"/>
    </w:rPr>
  </w:style>
  <w:style w:type="character" w:customStyle="1" w:styleId="BodyTextFirstIndentChar">
    <w:name w:val="Body Text First Indent Char"/>
    <w:basedOn w:val="BodyTextChar"/>
    <w:link w:val="BodyTextFirstIndent"/>
    <w:uiPriority w:val="99"/>
    <w:semiHidden/>
    <w:rsid w:val="005D764A"/>
    <w:rPr>
      <w:rFonts w:ascii="Lucida Sans Unicode" w:eastAsiaTheme="minorEastAsia" w:hAnsi="Lucida Sans Unicode" w:cs="Times New Roman"/>
      <w:sz w:val="20"/>
      <w:szCs w:val="24"/>
      <w:lang w:val="en-CA" w:eastAsia="en-CA"/>
    </w:rPr>
  </w:style>
  <w:style w:type="paragraph" w:styleId="BodyTextIndent">
    <w:name w:val="Body Text Indent"/>
    <w:basedOn w:val="Normal"/>
    <w:link w:val="BodyTextIndentChar"/>
    <w:uiPriority w:val="99"/>
    <w:semiHidden/>
    <w:rsid w:val="005D764A"/>
    <w:pPr>
      <w:spacing w:before="200" w:after="120" w:line="276" w:lineRule="auto"/>
      <w:ind w:left="283"/>
    </w:pPr>
    <w:rPr>
      <w:rFonts w:asciiTheme="minorHAnsi" w:eastAsiaTheme="minorEastAsia" w:hAnsiTheme="minorHAnsi"/>
      <w:sz w:val="20"/>
      <w:szCs w:val="20"/>
    </w:rPr>
  </w:style>
  <w:style w:type="character" w:customStyle="1" w:styleId="BodyTextIndentChar">
    <w:name w:val="Body Text Indent Char"/>
    <w:basedOn w:val="DefaultParagraphFont"/>
    <w:link w:val="BodyTextIndent"/>
    <w:uiPriority w:val="99"/>
    <w:semiHidden/>
    <w:rsid w:val="005D764A"/>
    <w:rPr>
      <w:rFonts w:eastAsiaTheme="minorEastAsia"/>
      <w:sz w:val="20"/>
      <w:szCs w:val="20"/>
    </w:rPr>
  </w:style>
  <w:style w:type="paragraph" w:styleId="BodyTextFirstIndent2">
    <w:name w:val="Body Text First Indent 2"/>
    <w:basedOn w:val="BodyTextIndent"/>
    <w:link w:val="BodyTextFirstIndent2Char"/>
    <w:uiPriority w:val="99"/>
    <w:semiHidden/>
    <w:rsid w:val="005D764A"/>
    <w:pPr>
      <w:ind w:firstLine="210"/>
    </w:pPr>
  </w:style>
  <w:style w:type="character" w:customStyle="1" w:styleId="BodyTextFirstIndent2Char">
    <w:name w:val="Body Text First Indent 2 Char"/>
    <w:basedOn w:val="BodyTextIndentChar"/>
    <w:link w:val="BodyTextFirstIndent2"/>
    <w:uiPriority w:val="99"/>
    <w:semiHidden/>
    <w:rsid w:val="005D764A"/>
    <w:rPr>
      <w:rFonts w:eastAsiaTheme="minorEastAsia"/>
      <w:sz w:val="20"/>
      <w:szCs w:val="20"/>
    </w:rPr>
  </w:style>
  <w:style w:type="paragraph" w:styleId="BodyTextIndent2">
    <w:name w:val="Body Text Indent 2"/>
    <w:basedOn w:val="Normal"/>
    <w:link w:val="BodyTextIndent2Char"/>
    <w:uiPriority w:val="99"/>
    <w:semiHidden/>
    <w:rsid w:val="005D764A"/>
    <w:pPr>
      <w:spacing w:before="200" w:after="120" w:line="480" w:lineRule="auto"/>
      <w:ind w:left="283"/>
    </w:pPr>
    <w:rPr>
      <w:rFonts w:asciiTheme="minorHAnsi" w:eastAsiaTheme="minorEastAsia" w:hAnsiTheme="minorHAnsi"/>
      <w:sz w:val="20"/>
      <w:szCs w:val="20"/>
    </w:rPr>
  </w:style>
  <w:style w:type="character" w:customStyle="1" w:styleId="BodyTextIndent2Char">
    <w:name w:val="Body Text Indent 2 Char"/>
    <w:basedOn w:val="DefaultParagraphFont"/>
    <w:link w:val="BodyTextIndent2"/>
    <w:uiPriority w:val="99"/>
    <w:semiHidden/>
    <w:rsid w:val="005D764A"/>
    <w:rPr>
      <w:rFonts w:eastAsiaTheme="minorEastAsia"/>
      <w:sz w:val="20"/>
      <w:szCs w:val="20"/>
    </w:rPr>
  </w:style>
  <w:style w:type="paragraph" w:styleId="Closing">
    <w:name w:val="Closing"/>
    <w:basedOn w:val="Normal"/>
    <w:link w:val="ClosingChar"/>
    <w:uiPriority w:val="99"/>
    <w:semiHidden/>
    <w:rsid w:val="005D764A"/>
    <w:pPr>
      <w:spacing w:before="200" w:after="200" w:line="276" w:lineRule="auto"/>
      <w:ind w:left="4252"/>
    </w:pPr>
    <w:rPr>
      <w:rFonts w:asciiTheme="minorHAnsi" w:eastAsiaTheme="minorEastAsia" w:hAnsiTheme="minorHAnsi"/>
      <w:sz w:val="20"/>
      <w:szCs w:val="20"/>
    </w:rPr>
  </w:style>
  <w:style w:type="character" w:customStyle="1" w:styleId="ClosingChar">
    <w:name w:val="Closing Char"/>
    <w:basedOn w:val="DefaultParagraphFont"/>
    <w:link w:val="Closing"/>
    <w:uiPriority w:val="99"/>
    <w:semiHidden/>
    <w:rsid w:val="005D764A"/>
    <w:rPr>
      <w:rFonts w:eastAsiaTheme="minorEastAsia"/>
      <w:sz w:val="20"/>
      <w:szCs w:val="20"/>
    </w:rPr>
  </w:style>
  <w:style w:type="paragraph" w:styleId="Date">
    <w:name w:val="Date"/>
    <w:basedOn w:val="Normal"/>
    <w:next w:val="Normal"/>
    <w:link w:val="DateChar"/>
    <w:uiPriority w:val="99"/>
    <w:semiHidden/>
    <w:rsid w:val="005D764A"/>
    <w:pPr>
      <w:spacing w:before="200" w:after="200" w:line="276" w:lineRule="auto"/>
    </w:pPr>
    <w:rPr>
      <w:rFonts w:asciiTheme="minorHAnsi" w:eastAsiaTheme="minorEastAsia" w:hAnsiTheme="minorHAnsi"/>
      <w:sz w:val="20"/>
      <w:szCs w:val="20"/>
    </w:rPr>
  </w:style>
  <w:style w:type="character" w:customStyle="1" w:styleId="DateChar">
    <w:name w:val="Date Char"/>
    <w:basedOn w:val="DefaultParagraphFont"/>
    <w:link w:val="Date"/>
    <w:uiPriority w:val="99"/>
    <w:semiHidden/>
    <w:rsid w:val="005D764A"/>
    <w:rPr>
      <w:rFonts w:eastAsiaTheme="minorEastAsia"/>
      <w:sz w:val="20"/>
      <w:szCs w:val="20"/>
    </w:rPr>
  </w:style>
  <w:style w:type="paragraph" w:styleId="E-mailSignature">
    <w:name w:val="E-mail Signature"/>
    <w:basedOn w:val="Normal"/>
    <w:link w:val="E-mailSignatureChar"/>
    <w:uiPriority w:val="99"/>
    <w:semiHidden/>
    <w:rsid w:val="005D764A"/>
    <w:pPr>
      <w:spacing w:before="200" w:after="200" w:line="276" w:lineRule="auto"/>
    </w:pPr>
    <w:rPr>
      <w:rFonts w:asciiTheme="minorHAnsi" w:eastAsiaTheme="minorEastAsia" w:hAnsiTheme="minorHAnsi"/>
      <w:sz w:val="20"/>
      <w:szCs w:val="20"/>
    </w:rPr>
  </w:style>
  <w:style w:type="character" w:customStyle="1" w:styleId="E-mailSignatureChar">
    <w:name w:val="E-mail Signature Char"/>
    <w:basedOn w:val="DefaultParagraphFont"/>
    <w:link w:val="E-mailSignature"/>
    <w:uiPriority w:val="99"/>
    <w:semiHidden/>
    <w:rsid w:val="005D764A"/>
    <w:rPr>
      <w:rFonts w:eastAsiaTheme="minorEastAsia"/>
      <w:sz w:val="20"/>
      <w:szCs w:val="20"/>
    </w:rPr>
  </w:style>
  <w:style w:type="paragraph" w:styleId="EnvelopeAddress">
    <w:name w:val="envelope address"/>
    <w:basedOn w:val="Normal"/>
    <w:uiPriority w:val="99"/>
    <w:semiHidden/>
    <w:rsid w:val="005D764A"/>
    <w:pPr>
      <w:framePr w:w="7920" w:h="1980" w:hRule="exact" w:hSpace="180" w:wrap="auto" w:hAnchor="page" w:xAlign="center" w:yAlign="bottom"/>
      <w:spacing w:before="200" w:after="200" w:line="276" w:lineRule="auto"/>
      <w:ind w:left="2880"/>
    </w:pPr>
    <w:rPr>
      <w:rFonts w:ascii="Arial" w:eastAsiaTheme="minorEastAsia" w:hAnsi="Arial"/>
      <w:sz w:val="24"/>
      <w:szCs w:val="20"/>
    </w:rPr>
  </w:style>
  <w:style w:type="paragraph" w:styleId="EnvelopeReturn">
    <w:name w:val="envelope return"/>
    <w:basedOn w:val="Normal"/>
    <w:uiPriority w:val="99"/>
    <w:semiHidden/>
    <w:rsid w:val="005D764A"/>
    <w:pPr>
      <w:spacing w:before="200" w:after="200" w:line="276" w:lineRule="auto"/>
    </w:pPr>
    <w:rPr>
      <w:rFonts w:ascii="Arial" w:eastAsiaTheme="minorEastAsia" w:hAnsi="Arial"/>
      <w:sz w:val="20"/>
      <w:szCs w:val="20"/>
    </w:rPr>
  </w:style>
  <w:style w:type="character" w:styleId="HTMLAcronym">
    <w:name w:val="HTML Acronym"/>
    <w:basedOn w:val="DefaultParagraphFont"/>
    <w:uiPriority w:val="99"/>
    <w:semiHidden/>
    <w:rsid w:val="005D764A"/>
    <w:rPr>
      <w:rFonts w:cs="Times New Roman"/>
    </w:rPr>
  </w:style>
  <w:style w:type="paragraph" w:styleId="HTMLAddress">
    <w:name w:val="HTML Address"/>
    <w:basedOn w:val="Normal"/>
    <w:link w:val="HTMLAddressChar"/>
    <w:uiPriority w:val="99"/>
    <w:semiHidden/>
    <w:rsid w:val="005D764A"/>
    <w:pPr>
      <w:spacing w:before="200" w:after="200" w:line="276" w:lineRule="auto"/>
    </w:pPr>
    <w:rPr>
      <w:rFonts w:asciiTheme="minorHAnsi" w:eastAsiaTheme="minorEastAsia" w:hAnsiTheme="minorHAnsi"/>
      <w:i/>
      <w:iCs/>
      <w:sz w:val="20"/>
      <w:szCs w:val="20"/>
    </w:rPr>
  </w:style>
  <w:style w:type="character" w:customStyle="1" w:styleId="HTMLAddressChar">
    <w:name w:val="HTML Address Char"/>
    <w:basedOn w:val="DefaultParagraphFont"/>
    <w:link w:val="HTMLAddress"/>
    <w:uiPriority w:val="99"/>
    <w:semiHidden/>
    <w:rsid w:val="005D764A"/>
    <w:rPr>
      <w:rFonts w:eastAsiaTheme="minorEastAsia"/>
      <w:i/>
      <w:iCs/>
      <w:sz w:val="20"/>
      <w:szCs w:val="20"/>
    </w:rPr>
  </w:style>
  <w:style w:type="character" w:styleId="HTMLCite">
    <w:name w:val="HTML Cite"/>
    <w:basedOn w:val="DefaultParagraphFont"/>
    <w:uiPriority w:val="99"/>
    <w:semiHidden/>
    <w:rsid w:val="005D764A"/>
    <w:rPr>
      <w:rFonts w:cs="Times New Roman"/>
      <w:i/>
      <w:iCs/>
    </w:rPr>
  </w:style>
  <w:style w:type="character" w:styleId="HTMLCode">
    <w:name w:val="HTML Code"/>
    <w:basedOn w:val="DefaultParagraphFont"/>
    <w:uiPriority w:val="99"/>
    <w:semiHidden/>
    <w:rsid w:val="005D764A"/>
    <w:rPr>
      <w:rFonts w:ascii="Courier New" w:hAnsi="Courier New" w:cs="Courier New"/>
      <w:sz w:val="20"/>
      <w:szCs w:val="20"/>
    </w:rPr>
  </w:style>
  <w:style w:type="character" w:styleId="HTMLDefinition">
    <w:name w:val="HTML Definition"/>
    <w:basedOn w:val="DefaultParagraphFont"/>
    <w:uiPriority w:val="99"/>
    <w:semiHidden/>
    <w:rsid w:val="005D764A"/>
    <w:rPr>
      <w:rFonts w:cs="Times New Roman"/>
      <w:i/>
      <w:iCs/>
    </w:rPr>
  </w:style>
  <w:style w:type="character" w:styleId="HTMLKeyboard">
    <w:name w:val="HTML Keyboard"/>
    <w:basedOn w:val="DefaultParagraphFont"/>
    <w:uiPriority w:val="99"/>
    <w:semiHidden/>
    <w:rsid w:val="005D764A"/>
    <w:rPr>
      <w:rFonts w:ascii="Courier New" w:hAnsi="Courier New" w:cs="Courier New"/>
      <w:sz w:val="20"/>
      <w:szCs w:val="20"/>
    </w:rPr>
  </w:style>
  <w:style w:type="paragraph" w:styleId="HTMLPreformatted">
    <w:name w:val="HTML Preformatted"/>
    <w:basedOn w:val="Normal"/>
    <w:link w:val="HTMLPreformattedChar"/>
    <w:uiPriority w:val="99"/>
    <w:semiHidden/>
    <w:rsid w:val="005D764A"/>
    <w:pPr>
      <w:spacing w:before="200" w:after="200" w:line="276" w:lineRule="auto"/>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5D764A"/>
    <w:rPr>
      <w:rFonts w:ascii="Courier New" w:eastAsiaTheme="minorEastAsia" w:hAnsi="Courier New" w:cs="Courier New"/>
      <w:sz w:val="20"/>
      <w:szCs w:val="20"/>
    </w:rPr>
  </w:style>
  <w:style w:type="character" w:styleId="HTMLSample">
    <w:name w:val="HTML Sample"/>
    <w:basedOn w:val="DefaultParagraphFont"/>
    <w:uiPriority w:val="99"/>
    <w:semiHidden/>
    <w:rsid w:val="005D764A"/>
    <w:rPr>
      <w:rFonts w:ascii="Courier New" w:hAnsi="Courier New" w:cs="Courier New"/>
    </w:rPr>
  </w:style>
  <w:style w:type="character" w:styleId="HTMLTypewriter">
    <w:name w:val="HTML Typewriter"/>
    <w:basedOn w:val="DefaultParagraphFont"/>
    <w:uiPriority w:val="99"/>
    <w:semiHidden/>
    <w:rsid w:val="005D764A"/>
    <w:rPr>
      <w:rFonts w:ascii="Courier New" w:hAnsi="Courier New" w:cs="Courier New"/>
      <w:sz w:val="20"/>
      <w:szCs w:val="20"/>
    </w:rPr>
  </w:style>
  <w:style w:type="character" w:styleId="HTMLVariable">
    <w:name w:val="HTML Variable"/>
    <w:basedOn w:val="DefaultParagraphFont"/>
    <w:uiPriority w:val="99"/>
    <w:semiHidden/>
    <w:rsid w:val="005D764A"/>
    <w:rPr>
      <w:rFonts w:cs="Times New Roman"/>
      <w:i/>
      <w:iCs/>
    </w:rPr>
  </w:style>
  <w:style w:type="paragraph" w:styleId="List2">
    <w:name w:val="List 2"/>
    <w:basedOn w:val="Normal"/>
    <w:uiPriority w:val="99"/>
    <w:semiHidden/>
    <w:rsid w:val="005D764A"/>
    <w:pPr>
      <w:spacing w:before="200" w:after="200" w:line="276" w:lineRule="auto"/>
      <w:ind w:left="566" w:hanging="283"/>
    </w:pPr>
    <w:rPr>
      <w:rFonts w:asciiTheme="minorHAnsi" w:eastAsiaTheme="minorEastAsia" w:hAnsiTheme="minorHAnsi"/>
      <w:sz w:val="20"/>
      <w:szCs w:val="20"/>
    </w:rPr>
  </w:style>
  <w:style w:type="paragraph" w:styleId="List3">
    <w:name w:val="List 3"/>
    <w:basedOn w:val="Normal"/>
    <w:uiPriority w:val="99"/>
    <w:semiHidden/>
    <w:rsid w:val="005D764A"/>
    <w:pPr>
      <w:spacing w:before="200" w:after="200" w:line="276" w:lineRule="auto"/>
      <w:ind w:left="849" w:hanging="283"/>
    </w:pPr>
    <w:rPr>
      <w:rFonts w:asciiTheme="minorHAnsi" w:eastAsiaTheme="minorEastAsia" w:hAnsiTheme="minorHAnsi"/>
      <w:sz w:val="20"/>
      <w:szCs w:val="20"/>
    </w:rPr>
  </w:style>
  <w:style w:type="paragraph" w:styleId="List4">
    <w:name w:val="List 4"/>
    <w:basedOn w:val="Normal"/>
    <w:uiPriority w:val="99"/>
    <w:semiHidden/>
    <w:rsid w:val="005D764A"/>
    <w:pPr>
      <w:spacing w:before="200" w:after="200" w:line="276" w:lineRule="auto"/>
      <w:ind w:left="1132" w:hanging="283"/>
    </w:pPr>
    <w:rPr>
      <w:rFonts w:asciiTheme="minorHAnsi" w:eastAsiaTheme="minorEastAsia" w:hAnsiTheme="minorHAnsi"/>
      <w:sz w:val="20"/>
      <w:szCs w:val="20"/>
    </w:rPr>
  </w:style>
  <w:style w:type="paragraph" w:styleId="List5">
    <w:name w:val="List 5"/>
    <w:basedOn w:val="Normal"/>
    <w:uiPriority w:val="99"/>
    <w:semiHidden/>
    <w:rsid w:val="005D764A"/>
    <w:pPr>
      <w:spacing w:before="200" w:after="200" w:line="276" w:lineRule="auto"/>
      <w:ind w:left="1415" w:hanging="283"/>
    </w:pPr>
    <w:rPr>
      <w:rFonts w:asciiTheme="minorHAnsi" w:eastAsiaTheme="minorEastAsia" w:hAnsiTheme="minorHAnsi"/>
      <w:sz w:val="20"/>
      <w:szCs w:val="20"/>
    </w:rPr>
  </w:style>
  <w:style w:type="paragraph" w:styleId="ListBullet3">
    <w:name w:val="List Bullet 3"/>
    <w:basedOn w:val="Normal"/>
    <w:uiPriority w:val="99"/>
    <w:semiHidden/>
    <w:rsid w:val="005D764A"/>
    <w:pPr>
      <w:tabs>
        <w:tab w:val="num" w:pos="926"/>
      </w:tabs>
      <w:spacing w:before="200" w:after="200" w:line="276" w:lineRule="auto"/>
      <w:ind w:left="926" w:hanging="360"/>
    </w:pPr>
    <w:rPr>
      <w:rFonts w:asciiTheme="minorHAnsi" w:eastAsiaTheme="minorEastAsia" w:hAnsiTheme="minorHAnsi"/>
      <w:sz w:val="20"/>
      <w:szCs w:val="20"/>
    </w:rPr>
  </w:style>
  <w:style w:type="paragraph" w:styleId="ListBullet4">
    <w:name w:val="List Bullet 4"/>
    <w:basedOn w:val="Normal"/>
    <w:uiPriority w:val="99"/>
    <w:semiHidden/>
    <w:rsid w:val="005D764A"/>
    <w:pPr>
      <w:tabs>
        <w:tab w:val="num" w:pos="643"/>
        <w:tab w:val="num" w:pos="1209"/>
      </w:tabs>
      <w:spacing w:before="200" w:after="200" w:line="276" w:lineRule="auto"/>
      <w:ind w:left="1209" w:hanging="360"/>
    </w:pPr>
    <w:rPr>
      <w:rFonts w:asciiTheme="minorHAnsi" w:eastAsiaTheme="minorEastAsia" w:hAnsiTheme="minorHAnsi"/>
      <w:sz w:val="20"/>
      <w:szCs w:val="20"/>
    </w:rPr>
  </w:style>
  <w:style w:type="paragraph" w:styleId="ListContinue">
    <w:name w:val="List Continue"/>
    <w:basedOn w:val="Normal"/>
    <w:uiPriority w:val="99"/>
    <w:semiHidden/>
    <w:rsid w:val="005D764A"/>
    <w:pPr>
      <w:spacing w:before="200" w:after="120" w:line="276" w:lineRule="auto"/>
      <w:ind w:left="283"/>
    </w:pPr>
    <w:rPr>
      <w:rFonts w:asciiTheme="minorHAnsi" w:eastAsiaTheme="minorEastAsia" w:hAnsiTheme="minorHAnsi"/>
      <w:sz w:val="20"/>
      <w:szCs w:val="20"/>
    </w:rPr>
  </w:style>
  <w:style w:type="paragraph" w:styleId="ListContinue2">
    <w:name w:val="List Continue 2"/>
    <w:basedOn w:val="Normal"/>
    <w:uiPriority w:val="99"/>
    <w:semiHidden/>
    <w:rsid w:val="005D764A"/>
    <w:pPr>
      <w:spacing w:before="200" w:after="120" w:line="276" w:lineRule="auto"/>
      <w:ind w:left="566"/>
    </w:pPr>
    <w:rPr>
      <w:rFonts w:asciiTheme="minorHAnsi" w:eastAsiaTheme="minorEastAsia" w:hAnsiTheme="minorHAnsi"/>
      <w:sz w:val="20"/>
      <w:szCs w:val="20"/>
    </w:rPr>
  </w:style>
  <w:style w:type="paragraph" w:styleId="ListContinue3">
    <w:name w:val="List Continue 3"/>
    <w:basedOn w:val="Normal"/>
    <w:uiPriority w:val="99"/>
    <w:semiHidden/>
    <w:rsid w:val="005D764A"/>
    <w:pPr>
      <w:spacing w:before="200" w:after="120" w:line="276" w:lineRule="auto"/>
      <w:ind w:left="849"/>
    </w:pPr>
    <w:rPr>
      <w:rFonts w:asciiTheme="minorHAnsi" w:eastAsiaTheme="minorEastAsia" w:hAnsiTheme="minorHAnsi"/>
      <w:sz w:val="20"/>
      <w:szCs w:val="20"/>
    </w:rPr>
  </w:style>
  <w:style w:type="paragraph" w:styleId="ListContinue4">
    <w:name w:val="List Continue 4"/>
    <w:basedOn w:val="Normal"/>
    <w:uiPriority w:val="99"/>
    <w:semiHidden/>
    <w:rsid w:val="005D764A"/>
    <w:pPr>
      <w:spacing w:before="200" w:after="120" w:line="276" w:lineRule="auto"/>
      <w:ind w:left="1132"/>
    </w:pPr>
    <w:rPr>
      <w:rFonts w:asciiTheme="minorHAnsi" w:eastAsiaTheme="minorEastAsia" w:hAnsiTheme="minorHAnsi"/>
      <w:sz w:val="20"/>
      <w:szCs w:val="20"/>
    </w:rPr>
  </w:style>
  <w:style w:type="paragraph" w:styleId="ListContinue5">
    <w:name w:val="List Continue 5"/>
    <w:basedOn w:val="Normal"/>
    <w:uiPriority w:val="99"/>
    <w:semiHidden/>
    <w:rsid w:val="005D764A"/>
    <w:pPr>
      <w:spacing w:before="200" w:after="120" w:line="276" w:lineRule="auto"/>
      <w:ind w:left="1415"/>
    </w:pPr>
    <w:rPr>
      <w:rFonts w:asciiTheme="minorHAnsi" w:eastAsiaTheme="minorEastAsia" w:hAnsiTheme="minorHAnsi"/>
      <w:sz w:val="20"/>
      <w:szCs w:val="20"/>
    </w:rPr>
  </w:style>
  <w:style w:type="paragraph" w:styleId="ListNumber">
    <w:name w:val="List Number"/>
    <w:basedOn w:val="Normal"/>
    <w:uiPriority w:val="99"/>
    <w:semiHidden/>
    <w:rsid w:val="005D764A"/>
    <w:pPr>
      <w:tabs>
        <w:tab w:val="num" w:pos="1209"/>
      </w:tabs>
      <w:spacing w:before="200" w:after="200" w:line="276" w:lineRule="auto"/>
      <w:ind w:left="360" w:hanging="360"/>
    </w:pPr>
    <w:rPr>
      <w:rFonts w:asciiTheme="minorHAnsi" w:eastAsiaTheme="minorEastAsia" w:hAnsiTheme="minorHAnsi"/>
      <w:sz w:val="20"/>
      <w:szCs w:val="20"/>
    </w:rPr>
  </w:style>
  <w:style w:type="paragraph" w:styleId="ListNumber2">
    <w:name w:val="List Number 2"/>
    <w:basedOn w:val="Normal"/>
    <w:uiPriority w:val="99"/>
    <w:semiHidden/>
    <w:rsid w:val="005D764A"/>
    <w:pPr>
      <w:numPr>
        <w:numId w:val="16"/>
      </w:numPr>
      <w:tabs>
        <w:tab w:val="clear" w:pos="1800"/>
        <w:tab w:val="num" w:pos="643"/>
        <w:tab w:val="num" w:pos="1937"/>
      </w:tabs>
      <w:spacing w:before="200" w:after="200" w:line="276" w:lineRule="auto"/>
      <w:ind w:left="643"/>
    </w:pPr>
    <w:rPr>
      <w:rFonts w:asciiTheme="minorHAnsi" w:eastAsiaTheme="minorEastAsia" w:hAnsiTheme="minorHAnsi"/>
      <w:sz w:val="20"/>
      <w:szCs w:val="20"/>
    </w:rPr>
  </w:style>
  <w:style w:type="paragraph" w:styleId="ListNumber3">
    <w:name w:val="List Number 3"/>
    <w:basedOn w:val="Normal"/>
    <w:uiPriority w:val="99"/>
    <w:semiHidden/>
    <w:rsid w:val="005D764A"/>
    <w:pPr>
      <w:tabs>
        <w:tab w:val="num" w:pos="926"/>
      </w:tabs>
      <w:spacing w:before="200" w:after="200" w:line="276" w:lineRule="auto"/>
      <w:ind w:left="926" w:hanging="360"/>
    </w:pPr>
    <w:rPr>
      <w:rFonts w:asciiTheme="minorHAnsi" w:eastAsiaTheme="minorEastAsia" w:hAnsiTheme="minorHAnsi"/>
      <w:sz w:val="20"/>
      <w:szCs w:val="20"/>
    </w:rPr>
  </w:style>
  <w:style w:type="paragraph" w:styleId="ListNumber4">
    <w:name w:val="List Number 4"/>
    <w:basedOn w:val="Normal"/>
    <w:uiPriority w:val="99"/>
    <w:semiHidden/>
    <w:rsid w:val="005D764A"/>
    <w:pPr>
      <w:tabs>
        <w:tab w:val="num" w:pos="643"/>
        <w:tab w:val="num" w:pos="1209"/>
        <w:tab w:val="num" w:pos="1440"/>
      </w:tabs>
      <w:spacing w:before="200" w:after="200" w:line="276" w:lineRule="auto"/>
      <w:ind w:left="1209" w:hanging="360"/>
    </w:pPr>
    <w:rPr>
      <w:rFonts w:asciiTheme="minorHAnsi" w:eastAsiaTheme="minorEastAsia" w:hAnsiTheme="minorHAnsi"/>
      <w:sz w:val="20"/>
      <w:szCs w:val="20"/>
    </w:rPr>
  </w:style>
  <w:style w:type="paragraph" w:styleId="ListNumber5">
    <w:name w:val="List Number 5"/>
    <w:basedOn w:val="Normal"/>
    <w:uiPriority w:val="99"/>
    <w:semiHidden/>
    <w:rsid w:val="005D764A"/>
    <w:pPr>
      <w:tabs>
        <w:tab w:val="num" w:pos="926"/>
        <w:tab w:val="num" w:pos="1937"/>
      </w:tabs>
      <w:spacing w:before="200" w:after="200" w:line="276" w:lineRule="auto"/>
      <w:ind w:left="1937" w:hanging="360"/>
    </w:pPr>
    <w:rPr>
      <w:rFonts w:asciiTheme="minorHAnsi" w:eastAsiaTheme="minorEastAsia" w:hAnsiTheme="minorHAnsi"/>
      <w:sz w:val="20"/>
      <w:szCs w:val="20"/>
    </w:rPr>
  </w:style>
  <w:style w:type="table" w:styleId="Table3Deffects1">
    <w:name w:val="Table 3D effects 1"/>
    <w:basedOn w:val="TableNormal"/>
    <w:uiPriority w:val="99"/>
    <w:semiHidden/>
    <w:rsid w:val="005D764A"/>
    <w:pPr>
      <w:spacing w:before="200"/>
    </w:pPr>
    <w:rPr>
      <w:rFonts w:eastAsiaTheme="minorEastAsia"/>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5D764A"/>
    <w:pPr>
      <w:spacing w:before="200"/>
    </w:pPr>
    <w:rPr>
      <w:rFonts w:eastAsiaTheme="minorEastAsia"/>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5D764A"/>
    <w:pPr>
      <w:spacing w:before="200"/>
    </w:pPr>
    <w:rPr>
      <w:rFonts w:eastAsiaTheme="minorEastAsia"/>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5D764A"/>
    <w:pPr>
      <w:spacing w:before="200"/>
    </w:pPr>
    <w:rPr>
      <w:rFonts w:eastAsiaTheme="minorEastAsi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5D764A"/>
    <w:pPr>
      <w:spacing w:before="200"/>
    </w:pPr>
    <w:rPr>
      <w:rFonts w:eastAsiaTheme="minorEastAsia"/>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5D764A"/>
    <w:pPr>
      <w:spacing w:before="200"/>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5D764A"/>
    <w:pPr>
      <w:spacing w:before="200"/>
    </w:pPr>
    <w:rPr>
      <w:rFonts w:eastAsiaTheme="minorEastAsia"/>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5D764A"/>
    <w:pPr>
      <w:spacing w:before="200"/>
    </w:pPr>
    <w:rPr>
      <w:rFonts w:eastAsiaTheme="minorEastAs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5D764A"/>
    <w:pPr>
      <w:spacing w:before="200"/>
    </w:pPr>
    <w:rPr>
      <w:rFonts w:eastAsiaTheme="minorEastAsia"/>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5D764A"/>
    <w:pPr>
      <w:spacing w:before="200"/>
    </w:pPr>
    <w:rPr>
      <w:rFonts w:eastAsiaTheme="minorEastAs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5D764A"/>
    <w:pPr>
      <w:spacing w:before="200"/>
    </w:pPr>
    <w:rPr>
      <w:rFonts w:eastAsiaTheme="minorEastAs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5D764A"/>
    <w:pPr>
      <w:spacing w:before="200"/>
    </w:pPr>
    <w:rPr>
      <w:rFonts w:eastAsiaTheme="minorEastAsia"/>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5D764A"/>
    <w:pPr>
      <w:spacing w:before="200"/>
    </w:pPr>
    <w:rPr>
      <w:rFonts w:eastAsiaTheme="minorEastAs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5D764A"/>
    <w:pPr>
      <w:spacing w:before="200"/>
    </w:pPr>
    <w:rPr>
      <w:rFonts w:eastAsiaTheme="minorEastAsia"/>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5D764A"/>
    <w:pPr>
      <w:spacing w:before="200"/>
    </w:pPr>
    <w:rPr>
      <w:rFonts w:eastAsiaTheme="minorEastAs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5D764A"/>
    <w:pPr>
      <w:spacing w:before="200"/>
    </w:pPr>
    <w:rPr>
      <w:rFonts w:eastAsiaTheme="minorEastAsia"/>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5D764A"/>
    <w:pPr>
      <w:spacing w:before="200"/>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5D764A"/>
    <w:pPr>
      <w:spacing w:before="200"/>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5D764A"/>
    <w:pPr>
      <w:spacing w:before="200"/>
    </w:pPr>
    <w:rPr>
      <w:rFonts w:eastAsiaTheme="minorEastAsia"/>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5D764A"/>
    <w:pPr>
      <w:spacing w:before="200"/>
    </w:pPr>
    <w:rPr>
      <w:rFonts w:eastAsiaTheme="minorEastAsia"/>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5D764A"/>
    <w:pPr>
      <w:spacing w:before="200"/>
    </w:pPr>
    <w:rPr>
      <w:rFonts w:eastAsiaTheme="minorEastAsi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0">
    <w:name w:val="Table Grid 5"/>
    <w:basedOn w:val="TableNormal"/>
    <w:uiPriority w:val="99"/>
    <w:semiHidden/>
    <w:rsid w:val="005D764A"/>
    <w:pPr>
      <w:spacing w:before="200"/>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0">
    <w:name w:val="Table Grid 6"/>
    <w:basedOn w:val="TableNormal"/>
    <w:uiPriority w:val="99"/>
    <w:semiHidden/>
    <w:rsid w:val="005D764A"/>
    <w:pPr>
      <w:spacing w:before="200"/>
    </w:pPr>
    <w:rPr>
      <w:rFonts w:eastAsiaTheme="minorEastAsia"/>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0">
    <w:name w:val="Table Grid 7"/>
    <w:basedOn w:val="TableNormal"/>
    <w:uiPriority w:val="99"/>
    <w:semiHidden/>
    <w:rsid w:val="005D764A"/>
    <w:pPr>
      <w:spacing w:before="200"/>
    </w:pPr>
    <w:rPr>
      <w:rFonts w:eastAsiaTheme="minorEastAs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0">
    <w:name w:val="Table Grid 8"/>
    <w:basedOn w:val="TableNormal"/>
    <w:uiPriority w:val="99"/>
    <w:semiHidden/>
    <w:rsid w:val="005D764A"/>
    <w:pPr>
      <w:spacing w:before="200"/>
    </w:pPr>
    <w:rPr>
      <w:rFonts w:eastAsiaTheme="minorEastAs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5D764A"/>
    <w:pPr>
      <w:spacing w:before="200"/>
    </w:pPr>
    <w:rPr>
      <w:rFonts w:eastAsiaTheme="minorEastAs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5D764A"/>
    <w:pPr>
      <w:spacing w:before="200"/>
    </w:pPr>
    <w:rPr>
      <w:rFonts w:eastAsiaTheme="minorEastAsia"/>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5D764A"/>
    <w:pPr>
      <w:spacing w:before="200"/>
    </w:pPr>
    <w:rPr>
      <w:rFonts w:eastAsiaTheme="minorEastAsia"/>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5D764A"/>
    <w:pPr>
      <w:spacing w:before="200"/>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5D764A"/>
    <w:pPr>
      <w:spacing w:before="200"/>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5D764A"/>
    <w:pPr>
      <w:spacing w:before="200"/>
    </w:pPr>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5D764A"/>
    <w:pPr>
      <w:spacing w:before="200"/>
    </w:pPr>
    <w:rPr>
      <w:rFonts w:eastAsiaTheme="minorEastAsi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5D764A"/>
    <w:pPr>
      <w:spacing w:before="200"/>
    </w:pPr>
    <w:rPr>
      <w:rFonts w:eastAsiaTheme="minorEastAsi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Simple1">
    <w:name w:val="Table Simple 1"/>
    <w:basedOn w:val="TableNormal"/>
    <w:uiPriority w:val="99"/>
    <w:semiHidden/>
    <w:rsid w:val="005D764A"/>
    <w:pPr>
      <w:spacing w:before="200"/>
    </w:pPr>
    <w:rPr>
      <w:rFonts w:eastAsiaTheme="minorEastAsia"/>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5D764A"/>
    <w:pPr>
      <w:spacing w:before="200"/>
    </w:pPr>
    <w:rPr>
      <w:rFonts w:eastAsiaTheme="minorEastAsia"/>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5D764A"/>
    <w:pPr>
      <w:spacing w:before="200"/>
    </w:pPr>
    <w:rPr>
      <w:rFonts w:eastAsiaTheme="minorEastAsia"/>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5D764A"/>
    <w:pPr>
      <w:spacing w:before="200"/>
    </w:pPr>
    <w:rPr>
      <w:rFonts w:eastAsiaTheme="minorEastAsia"/>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5D764A"/>
    <w:pPr>
      <w:spacing w:before="200"/>
    </w:pPr>
    <w:rPr>
      <w:rFonts w:eastAsiaTheme="minorEastAsia"/>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5D764A"/>
    <w:pPr>
      <w:spacing w:before="20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5D764A"/>
    <w:pPr>
      <w:spacing w:before="200"/>
    </w:pPr>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5D764A"/>
    <w:pPr>
      <w:spacing w:before="200"/>
    </w:pPr>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5D764A"/>
    <w:pPr>
      <w:spacing w:before="200"/>
    </w:pPr>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BulletedLevel2">
    <w:name w:val="Bulleted Level 2"/>
    <w:basedOn w:val="BodyCopy"/>
    <w:rsid w:val="005D764A"/>
    <w:pPr>
      <w:numPr>
        <w:numId w:val="22"/>
      </w:numPr>
      <w:tabs>
        <w:tab w:val="clear" w:pos="1702"/>
      </w:tabs>
      <w:ind w:left="720" w:hanging="360"/>
    </w:pPr>
  </w:style>
  <w:style w:type="paragraph" w:customStyle="1" w:styleId="FigureCaption">
    <w:name w:val="Figure Caption"/>
    <w:basedOn w:val="BodyCopy"/>
    <w:next w:val="BodyCopy"/>
    <w:link w:val="FigureCaptionChar"/>
    <w:qFormat/>
    <w:rsid w:val="005D764A"/>
    <w:pPr>
      <w:spacing w:before="120"/>
      <w:ind w:left="1730" w:hanging="879"/>
    </w:pPr>
    <w:rPr>
      <w:i/>
    </w:rPr>
  </w:style>
  <w:style w:type="paragraph" w:customStyle="1" w:styleId="BulletedLevel3">
    <w:name w:val="Bulleted Level 3"/>
    <w:basedOn w:val="BodyCopy"/>
    <w:rsid w:val="005D764A"/>
    <w:pPr>
      <w:numPr>
        <w:numId w:val="23"/>
      </w:numPr>
      <w:tabs>
        <w:tab w:val="clear" w:pos="2126"/>
      </w:tabs>
      <w:ind w:left="720" w:hanging="360"/>
    </w:pPr>
  </w:style>
  <w:style w:type="paragraph" w:customStyle="1" w:styleId="ScreenCapture">
    <w:name w:val="Screen Capture"/>
    <w:basedOn w:val="BodyCopy"/>
    <w:next w:val="Normal"/>
    <w:rsid w:val="005D764A"/>
    <w:pPr>
      <w:spacing w:before="240"/>
      <w:ind w:left="851"/>
    </w:pPr>
  </w:style>
  <w:style w:type="paragraph" w:customStyle="1" w:styleId="TableHeaderWhite">
    <w:name w:val="Table Header White"/>
    <w:basedOn w:val="TableHeaderBlack"/>
    <w:rsid w:val="005D764A"/>
    <w:pPr>
      <w:tabs>
        <w:tab w:val="left" w:pos="615"/>
        <w:tab w:val="center" w:pos="1393"/>
      </w:tabs>
      <w:jc w:val="left"/>
    </w:pPr>
    <w:rPr>
      <w:color w:val="FFFFFF"/>
    </w:rPr>
  </w:style>
  <w:style w:type="paragraph" w:customStyle="1" w:styleId="TableHeaderBlack">
    <w:name w:val="Table Header Black"/>
    <w:basedOn w:val="BodyCopy"/>
    <w:rsid w:val="005D764A"/>
    <w:pPr>
      <w:spacing w:before="80" w:after="80"/>
      <w:jc w:val="center"/>
    </w:pPr>
    <w:rPr>
      <w:b/>
    </w:rPr>
  </w:style>
  <w:style w:type="paragraph" w:customStyle="1" w:styleId="Note">
    <w:name w:val="Note"/>
    <w:basedOn w:val="BodyCopy"/>
    <w:next w:val="BodyCopy"/>
    <w:rsid w:val="005D764A"/>
    <w:pPr>
      <w:pBdr>
        <w:top w:val="single" w:sz="2" w:space="15" w:color="7F7F7F"/>
        <w:left w:val="single" w:sz="2" w:space="10" w:color="7F7F7F"/>
        <w:bottom w:val="single" w:sz="2" w:space="15" w:color="7F7F7F"/>
        <w:right w:val="single" w:sz="2" w:space="10" w:color="7F7F7F"/>
      </w:pBdr>
      <w:shd w:val="clear" w:color="auto" w:fill="F2F2F2"/>
      <w:spacing w:before="240"/>
      <w:ind w:left="1440" w:hanging="731"/>
    </w:pPr>
  </w:style>
  <w:style w:type="paragraph" w:customStyle="1" w:styleId="NumberedLevel2">
    <w:name w:val="Numbered Level 2"/>
    <w:basedOn w:val="BodyCopy"/>
    <w:rsid w:val="005D764A"/>
    <w:pPr>
      <w:numPr>
        <w:numId w:val="21"/>
      </w:numPr>
      <w:tabs>
        <w:tab w:val="clear" w:pos="1702"/>
      </w:tabs>
      <w:ind w:left="720" w:hanging="360"/>
    </w:pPr>
  </w:style>
  <w:style w:type="paragraph" w:customStyle="1" w:styleId="NumberedLevel3">
    <w:name w:val="Numbered Level 3"/>
    <w:basedOn w:val="BodyCopy"/>
    <w:rsid w:val="005D764A"/>
    <w:pPr>
      <w:numPr>
        <w:numId w:val="24"/>
      </w:numPr>
      <w:tabs>
        <w:tab w:val="clear" w:pos="2126"/>
      </w:tabs>
      <w:ind w:left="720" w:hanging="360"/>
    </w:pPr>
  </w:style>
  <w:style w:type="character" w:customStyle="1" w:styleId="Codesample">
    <w:name w:val="Code sample"/>
    <w:basedOn w:val="DefaultParagraphFont"/>
    <w:rsid w:val="005D764A"/>
    <w:rPr>
      <w:rFonts w:ascii="Courier New" w:hAnsi="Courier New" w:cs="Times New Roman"/>
      <w:color w:val="000000"/>
    </w:rPr>
  </w:style>
  <w:style w:type="paragraph" w:customStyle="1" w:styleId="BodyIndent">
    <w:name w:val="Body Indent"/>
    <w:basedOn w:val="BodyCopy"/>
    <w:rsid w:val="005D764A"/>
    <w:pPr>
      <w:spacing w:before="120" w:after="120"/>
      <w:ind w:left="1440" w:right="720"/>
    </w:pPr>
    <w:rPr>
      <w:rFonts w:cs="Times New Roman"/>
      <w:bCs/>
      <w:iCs/>
      <w:lang w:eastAsia="en-CA"/>
    </w:rPr>
  </w:style>
  <w:style w:type="paragraph" w:customStyle="1" w:styleId="BodyTextKeep">
    <w:name w:val="Body Text (Keep)"/>
    <w:basedOn w:val="BodyText"/>
    <w:rsid w:val="005D764A"/>
    <w:pPr>
      <w:keepNext/>
      <w:spacing w:before="200" w:after="240" w:line="360" w:lineRule="auto"/>
    </w:pPr>
    <w:rPr>
      <w:rFonts w:ascii="Arial" w:eastAsiaTheme="minorEastAsia" w:hAnsi="Arial" w:cs="Times New Roman"/>
      <w:bCs/>
      <w:iCs/>
      <w:sz w:val="20"/>
      <w:szCs w:val="24"/>
    </w:rPr>
  </w:style>
  <w:style w:type="table" w:styleId="MediumShading1-Accent1">
    <w:name w:val="Medium Shading 1 Accent 1"/>
    <w:basedOn w:val="TableNormal"/>
    <w:uiPriority w:val="63"/>
    <w:rsid w:val="005D764A"/>
    <w:pPr>
      <w:spacing w:before="200"/>
    </w:pPr>
    <w:rPr>
      <w:rFonts w:eastAsiaTheme="minorEastAsia"/>
      <w:lang w:val="en-CA"/>
    </w:rPr>
    <w:tblPr>
      <w:tblStyleRowBandSize w:val="1"/>
      <w:tblStyleColBandSize w:val="1"/>
      <w:tblBorders>
        <w:top w:val="single" w:sz="8" w:space="0" w:color="2BD6FF" w:themeColor="accent1" w:themeTint="BF"/>
        <w:left w:val="single" w:sz="8" w:space="0" w:color="2BD6FF" w:themeColor="accent1" w:themeTint="BF"/>
        <w:bottom w:val="single" w:sz="8" w:space="0" w:color="2BD6FF" w:themeColor="accent1" w:themeTint="BF"/>
        <w:right w:val="single" w:sz="8" w:space="0" w:color="2BD6FF" w:themeColor="accent1" w:themeTint="BF"/>
        <w:insideH w:val="single" w:sz="8" w:space="0" w:color="2BD6FF" w:themeColor="accent1" w:themeTint="BF"/>
      </w:tblBorders>
    </w:tblPr>
    <w:tblStylePr w:type="firstRow">
      <w:pPr>
        <w:spacing w:beforeLines="0" w:beforeAutospacing="0" w:afterLines="0" w:afterAutospacing="0"/>
      </w:pPr>
      <w:rPr>
        <w:rFonts w:cs="Times New Roman"/>
        <w:b/>
        <w:bCs/>
        <w:color w:val="FFFFFF" w:themeColor="background1"/>
      </w:rPr>
      <w:tblPr/>
      <w:tcPr>
        <w:tcBorders>
          <w:top w:val="single" w:sz="8" w:space="0" w:color="2BD6FF" w:themeColor="accent1" w:themeTint="BF"/>
          <w:left w:val="single" w:sz="8" w:space="0" w:color="2BD6FF" w:themeColor="accent1" w:themeTint="BF"/>
          <w:bottom w:val="single" w:sz="8" w:space="0" w:color="2BD6FF" w:themeColor="accent1" w:themeTint="BF"/>
          <w:right w:val="single" w:sz="8" w:space="0" w:color="2BD6FF" w:themeColor="accent1" w:themeTint="BF"/>
          <w:insideH w:val="nil"/>
          <w:insideV w:val="nil"/>
        </w:tcBorders>
        <w:shd w:val="clear" w:color="auto" w:fill="00B9E4" w:themeFill="accent1"/>
      </w:tcPr>
    </w:tblStylePr>
    <w:tblStylePr w:type="lastRow">
      <w:pPr>
        <w:spacing w:beforeLines="0" w:beforeAutospacing="0" w:afterLines="0" w:afterAutospacing="0"/>
      </w:pPr>
      <w:rPr>
        <w:rFonts w:cs="Times New Roman"/>
        <w:b/>
        <w:bCs/>
      </w:rPr>
      <w:tblPr/>
      <w:tcPr>
        <w:tcBorders>
          <w:top w:val="double" w:sz="6" w:space="0" w:color="2BD6FF" w:themeColor="accent1" w:themeTint="BF"/>
          <w:left w:val="single" w:sz="8" w:space="0" w:color="2BD6FF" w:themeColor="accent1" w:themeTint="BF"/>
          <w:bottom w:val="single" w:sz="8" w:space="0" w:color="2BD6FF" w:themeColor="accent1" w:themeTint="BF"/>
          <w:right w:val="single" w:sz="8" w:space="0" w:color="2BD6FF"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9F1FF" w:themeFill="accent1" w:themeFillTint="3F"/>
      </w:tcPr>
    </w:tblStylePr>
    <w:tblStylePr w:type="band1Horz">
      <w:rPr>
        <w:rFonts w:cs="Times New Roman"/>
      </w:rPr>
      <w:tblPr/>
      <w:tcPr>
        <w:tcBorders>
          <w:insideH w:val="nil"/>
          <w:insideV w:val="nil"/>
        </w:tcBorders>
        <w:shd w:val="clear" w:color="auto" w:fill="B9F1FF" w:themeFill="accent1" w:themeFillTint="3F"/>
      </w:tcPr>
    </w:tblStylePr>
    <w:tblStylePr w:type="band2Horz">
      <w:rPr>
        <w:rFonts w:cs="Times New Roman"/>
      </w:rPr>
      <w:tblPr/>
      <w:tcPr>
        <w:tcBorders>
          <w:insideH w:val="nil"/>
          <w:insideV w:val="nil"/>
        </w:tcBorders>
      </w:tcPr>
    </w:tblStylePr>
  </w:style>
  <w:style w:type="table" w:styleId="LightGrid-Accent1">
    <w:name w:val="Light Grid Accent 1"/>
    <w:basedOn w:val="TableNormal"/>
    <w:uiPriority w:val="62"/>
    <w:rsid w:val="005D764A"/>
    <w:pPr>
      <w:spacing w:before="200"/>
    </w:pPr>
    <w:rPr>
      <w:rFonts w:eastAsiaTheme="minorEastAsia"/>
      <w:lang w:val="en-CA"/>
    </w:rPr>
    <w:tblPr>
      <w:tblStyleRowBandSize w:val="1"/>
      <w:tblStyleColBandSize w:val="1"/>
      <w:tblBorders>
        <w:top w:val="single" w:sz="8" w:space="0" w:color="00B9E4" w:themeColor="accent1"/>
        <w:left w:val="single" w:sz="8" w:space="0" w:color="00B9E4" w:themeColor="accent1"/>
        <w:bottom w:val="single" w:sz="8" w:space="0" w:color="00B9E4" w:themeColor="accent1"/>
        <w:right w:val="single" w:sz="8" w:space="0" w:color="00B9E4" w:themeColor="accent1"/>
        <w:insideH w:val="single" w:sz="8" w:space="0" w:color="00B9E4" w:themeColor="accent1"/>
        <w:insideV w:val="single" w:sz="8" w:space="0" w:color="00B9E4" w:themeColor="accent1"/>
      </w:tblBorders>
    </w:tblPr>
    <w:tblStylePr w:type="firstRow">
      <w:pPr>
        <w:spacing w:before="0" w:after="0"/>
      </w:pPr>
      <w:rPr>
        <w:rFonts w:asciiTheme="majorHAnsi" w:eastAsiaTheme="majorEastAsia" w:hAnsiTheme="majorHAnsi" w:cs="Times New Roman"/>
        <w:b/>
        <w:bCs/>
      </w:rPr>
      <w:tblPr/>
      <w:tcPr>
        <w:tcBorders>
          <w:top w:val="single" w:sz="8" w:space="0" w:color="00B9E4" w:themeColor="accent1"/>
          <w:left w:val="single" w:sz="8" w:space="0" w:color="00B9E4" w:themeColor="accent1"/>
          <w:bottom w:val="single" w:sz="18" w:space="0" w:color="00B9E4" w:themeColor="accent1"/>
          <w:right w:val="single" w:sz="8" w:space="0" w:color="00B9E4" w:themeColor="accent1"/>
          <w:insideH w:val="nil"/>
          <w:insideV w:val="single" w:sz="8" w:space="0" w:color="00B9E4"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00B9E4" w:themeColor="accent1"/>
          <w:left w:val="single" w:sz="8" w:space="0" w:color="00B9E4" w:themeColor="accent1"/>
          <w:bottom w:val="single" w:sz="8" w:space="0" w:color="00B9E4" w:themeColor="accent1"/>
          <w:right w:val="single" w:sz="8" w:space="0" w:color="00B9E4" w:themeColor="accent1"/>
          <w:insideH w:val="nil"/>
          <w:insideV w:val="single" w:sz="8" w:space="0" w:color="00B9E4"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B9E4" w:themeColor="accent1"/>
          <w:left w:val="single" w:sz="8" w:space="0" w:color="00B9E4" w:themeColor="accent1"/>
          <w:bottom w:val="single" w:sz="8" w:space="0" w:color="00B9E4" w:themeColor="accent1"/>
          <w:right w:val="single" w:sz="8" w:space="0" w:color="00B9E4" w:themeColor="accent1"/>
        </w:tcBorders>
      </w:tcPr>
    </w:tblStylePr>
    <w:tblStylePr w:type="band1Vert">
      <w:rPr>
        <w:rFonts w:cs="Times New Roman"/>
      </w:rPr>
      <w:tblPr/>
      <w:tcPr>
        <w:tcBorders>
          <w:top w:val="single" w:sz="8" w:space="0" w:color="00B9E4" w:themeColor="accent1"/>
          <w:left w:val="single" w:sz="8" w:space="0" w:color="00B9E4" w:themeColor="accent1"/>
          <w:bottom w:val="single" w:sz="8" w:space="0" w:color="00B9E4" w:themeColor="accent1"/>
          <w:right w:val="single" w:sz="8" w:space="0" w:color="00B9E4" w:themeColor="accent1"/>
        </w:tcBorders>
        <w:shd w:val="clear" w:color="auto" w:fill="B9F1FF" w:themeFill="accent1" w:themeFillTint="3F"/>
      </w:tcPr>
    </w:tblStylePr>
    <w:tblStylePr w:type="band1Horz">
      <w:rPr>
        <w:rFonts w:cs="Times New Roman"/>
      </w:rPr>
      <w:tblPr/>
      <w:tcPr>
        <w:tcBorders>
          <w:top w:val="single" w:sz="8" w:space="0" w:color="00B9E4" w:themeColor="accent1"/>
          <w:left w:val="single" w:sz="8" w:space="0" w:color="00B9E4" w:themeColor="accent1"/>
          <w:bottom w:val="single" w:sz="8" w:space="0" w:color="00B9E4" w:themeColor="accent1"/>
          <w:right w:val="single" w:sz="8" w:space="0" w:color="00B9E4" w:themeColor="accent1"/>
          <w:insideV w:val="single" w:sz="8" w:space="0" w:color="00B9E4" w:themeColor="accent1"/>
        </w:tcBorders>
        <w:shd w:val="clear" w:color="auto" w:fill="B9F1FF" w:themeFill="accent1" w:themeFillTint="3F"/>
      </w:tcPr>
    </w:tblStylePr>
    <w:tblStylePr w:type="band2Horz">
      <w:rPr>
        <w:rFonts w:cs="Times New Roman"/>
      </w:rPr>
      <w:tblPr/>
      <w:tcPr>
        <w:tcBorders>
          <w:top w:val="single" w:sz="8" w:space="0" w:color="00B9E4" w:themeColor="accent1"/>
          <w:left w:val="single" w:sz="8" w:space="0" w:color="00B9E4" w:themeColor="accent1"/>
          <w:bottom w:val="single" w:sz="8" w:space="0" w:color="00B9E4" w:themeColor="accent1"/>
          <w:right w:val="single" w:sz="8" w:space="0" w:color="00B9E4" w:themeColor="accent1"/>
          <w:insideV w:val="single" w:sz="8" w:space="0" w:color="00B9E4" w:themeColor="accent1"/>
        </w:tcBorders>
      </w:tcPr>
    </w:tblStylePr>
  </w:style>
  <w:style w:type="numbering" w:styleId="1ai">
    <w:name w:val="Outline List 1"/>
    <w:basedOn w:val="NoList"/>
    <w:uiPriority w:val="99"/>
    <w:semiHidden/>
    <w:unhideWhenUsed/>
    <w:rsid w:val="005D764A"/>
    <w:pPr>
      <w:numPr>
        <w:numId w:val="19"/>
      </w:numPr>
    </w:pPr>
  </w:style>
  <w:style w:type="numbering" w:customStyle="1" w:styleId="StyleBulletList">
    <w:name w:val="Style Bullet List"/>
    <w:rsid w:val="005D764A"/>
    <w:pPr>
      <w:numPr>
        <w:numId w:val="20"/>
      </w:numPr>
    </w:pPr>
  </w:style>
  <w:style w:type="numbering" w:styleId="111111">
    <w:name w:val="Outline List 2"/>
    <w:basedOn w:val="NoList"/>
    <w:uiPriority w:val="99"/>
    <w:semiHidden/>
    <w:unhideWhenUsed/>
    <w:rsid w:val="005D764A"/>
    <w:pPr>
      <w:numPr>
        <w:numId w:val="18"/>
      </w:numPr>
    </w:pPr>
  </w:style>
  <w:style w:type="paragraph" w:customStyle="1" w:styleId="tabletextbullet0">
    <w:name w:val="tabletextbullet"/>
    <w:basedOn w:val="Normal"/>
    <w:rsid w:val="005D764A"/>
    <w:pPr>
      <w:numPr>
        <w:numId w:val="25"/>
      </w:numPr>
      <w:spacing w:before="20" w:after="20" w:line="240" w:lineRule="auto"/>
      <w:ind w:left="259" w:hanging="259"/>
    </w:pPr>
    <w:rPr>
      <w:rFonts w:ascii="Calibri" w:eastAsia="Calibri" w:hAnsi="Calibri" w:cs="Arial"/>
      <w:sz w:val="20"/>
      <w:szCs w:val="20"/>
      <w:lang w:val="en-CA" w:eastAsia="en-CA"/>
    </w:rPr>
  </w:style>
  <w:style w:type="table" w:styleId="LightList">
    <w:name w:val="Light List"/>
    <w:basedOn w:val="TableNormal"/>
    <w:uiPriority w:val="61"/>
    <w:rsid w:val="005D764A"/>
    <w:pPr>
      <w:spacing w:after="0" w:line="240" w:lineRule="auto"/>
    </w:pPr>
    <w:rPr>
      <w:lang w:val="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edLevel1Compressed">
    <w:name w:val="Bulleted Level 1 Compressed"/>
    <w:basedOn w:val="BulletedLevel1"/>
    <w:qFormat/>
    <w:rsid w:val="005D764A"/>
    <w:pPr>
      <w:numPr>
        <w:numId w:val="26"/>
      </w:numPr>
      <w:tabs>
        <w:tab w:val="left" w:pos="720"/>
      </w:tabs>
      <w:suppressAutoHyphens w:val="0"/>
      <w:spacing w:after="0" w:line="276" w:lineRule="auto"/>
      <w:jc w:val="both"/>
    </w:pPr>
    <w:rPr>
      <w:rFonts w:asciiTheme="minorHAnsi" w:hAnsiTheme="minorHAnsi" w:cstheme="minorBidi"/>
      <w:color w:val="auto"/>
      <w:sz w:val="20"/>
      <w:szCs w:val="20"/>
      <w:lang w:val="en-US"/>
    </w:rPr>
  </w:style>
  <w:style w:type="character" w:customStyle="1" w:styleId="FigureCaptionChar">
    <w:name w:val="Figure Caption Char"/>
    <w:basedOn w:val="DefaultParagraphFont"/>
    <w:link w:val="FigureCaption"/>
    <w:rsid w:val="005D764A"/>
    <w:rPr>
      <w:rFonts w:eastAsiaTheme="minorEastAsia"/>
      <w:i/>
      <w:sz w:val="20"/>
      <w:szCs w:val="20"/>
    </w:rPr>
  </w:style>
  <w:style w:type="table" w:customStyle="1" w:styleId="TableGrid10">
    <w:name w:val="Table Grid1"/>
    <w:basedOn w:val="TableNormal"/>
    <w:next w:val="TableGrid"/>
    <w:uiPriority w:val="59"/>
    <w:rsid w:val="005D76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5D76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5D76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5D76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5D76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5D764A"/>
  </w:style>
  <w:style w:type="character" w:customStyle="1" w:styleId="tgc">
    <w:name w:val="_tgc"/>
    <w:basedOn w:val="DefaultParagraphFont"/>
    <w:rsid w:val="005D764A"/>
  </w:style>
  <w:style w:type="table" w:customStyle="1" w:styleId="TableGrid81">
    <w:name w:val="Table Grid81"/>
    <w:basedOn w:val="TableNormal"/>
    <w:next w:val="TableGrid"/>
    <w:uiPriority w:val="59"/>
    <w:rsid w:val="005D76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5D76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ullet">
    <w:name w:val="Tabletext bullet"/>
    <w:basedOn w:val="Normal"/>
    <w:rsid w:val="005D764A"/>
    <w:pPr>
      <w:numPr>
        <w:numId w:val="27"/>
      </w:numPr>
      <w:spacing w:before="80" w:after="80" w:line="240" w:lineRule="auto"/>
      <w:ind w:left="317" w:hanging="284"/>
    </w:pPr>
    <w:rPr>
      <w:rFonts w:ascii="Calibri" w:hAnsi="Calibri" w:cs="Times New Roman"/>
      <w:sz w:val="20"/>
      <w:szCs w:val="20"/>
    </w:rPr>
  </w:style>
  <w:style w:type="character" w:customStyle="1" w:styleId="style11">
    <w:name w:val="style11"/>
    <w:basedOn w:val="DefaultParagraphFont"/>
    <w:rsid w:val="005D764A"/>
    <w:rPr>
      <w:b/>
      <w:bCs/>
      <w:color w:val="00B198"/>
    </w:rPr>
  </w:style>
  <w:style w:type="character" w:customStyle="1" w:styleId="menu-item-text1">
    <w:name w:val="menu-item-text1"/>
    <w:basedOn w:val="DefaultParagraphFont"/>
    <w:rsid w:val="005D764A"/>
  </w:style>
  <w:style w:type="paragraph" w:customStyle="1" w:styleId="descall">
    <w:name w:val="descall"/>
    <w:basedOn w:val="Normal"/>
    <w:rsid w:val="0010510E"/>
    <w:pPr>
      <w:spacing w:beforeAutospacing="1"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684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4503">
      <w:bodyDiv w:val="1"/>
      <w:marLeft w:val="0"/>
      <w:marRight w:val="0"/>
      <w:marTop w:val="0"/>
      <w:marBottom w:val="0"/>
      <w:divBdr>
        <w:top w:val="none" w:sz="0" w:space="0" w:color="auto"/>
        <w:left w:val="none" w:sz="0" w:space="0" w:color="auto"/>
        <w:bottom w:val="none" w:sz="0" w:space="0" w:color="auto"/>
        <w:right w:val="none" w:sz="0" w:space="0" w:color="auto"/>
      </w:divBdr>
      <w:divsChild>
        <w:div w:id="1774275878">
          <w:marLeft w:val="547"/>
          <w:marRight w:val="0"/>
          <w:marTop w:val="0"/>
          <w:marBottom w:val="0"/>
          <w:divBdr>
            <w:top w:val="none" w:sz="0" w:space="0" w:color="auto"/>
            <w:left w:val="none" w:sz="0" w:space="0" w:color="auto"/>
            <w:bottom w:val="none" w:sz="0" w:space="0" w:color="auto"/>
            <w:right w:val="none" w:sz="0" w:space="0" w:color="auto"/>
          </w:divBdr>
        </w:div>
        <w:div w:id="578683254">
          <w:marLeft w:val="547"/>
          <w:marRight w:val="0"/>
          <w:marTop w:val="0"/>
          <w:marBottom w:val="0"/>
          <w:divBdr>
            <w:top w:val="none" w:sz="0" w:space="0" w:color="auto"/>
            <w:left w:val="none" w:sz="0" w:space="0" w:color="auto"/>
            <w:bottom w:val="none" w:sz="0" w:space="0" w:color="auto"/>
            <w:right w:val="none" w:sz="0" w:space="0" w:color="auto"/>
          </w:divBdr>
        </w:div>
        <w:div w:id="880896990">
          <w:marLeft w:val="547"/>
          <w:marRight w:val="0"/>
          <w:marTop w:val="0"/>
          <w:marBottom w:val="0"/>
          <w:divBdr>
            <w:top w:val="none" w:sz="0" w:space="0" w:color="auto"/>
            <w:left w:val="none" w:sz="0" w:space="0" w:color="auto"/>
            <w:bottom w:val="none" w:sz="0" w:space="0" w:color="auto"/>
            <w:right w:val="none" w:sz="0" w:space="0" w:color="auto"/>
          </w:divBdr>
        </w:div>
        <w:div w:id="914625237">
          <w:marLeft w:val="547"/>
          <w:marRight w:val="0"/>
          <w:marTop w:val="0"/>
          <w:marBottom w:val="0"/>
          <w:divBdr>
            <w:top w:val="none" w:sz="0" w:space="0" w:color="auto"/>
            <w:left w:val="none" w:sz="0" w:space="0" w:color="auto"/>
            <w:bottom w:val="none" w:sz="0" w:space="0" w:color="auto"/>
            <w:right w:val="none" w:sz="0" w:space="0" w:color="auto"/>
          </w:divBdr>
        </w:div>
        <w:div w:id="1318264941">
          <w:marLeft w:val="547"/>
          <w:marRight w:val="0"/>
          <w:marTop w:val="0"/>
          <w:marBottom w:val="0"/>
          <w:divBdr>
            <w:top w:val="none" w:sz="0" w:space="0" w:color="auto"/>
            <w:left w:val="none" w:sz="0" w:space="0" w:color="auto"/>
            <w:bottom w:val="none" w:sz="0" w:space="0" w:color="auto"/>
            <w:right w:val="none" w:sz="0" w:space="0" w:color="auto"/>
          </w:divBdr>
        </w:div>
        <w:div w:id="249317961">
          <w:marLeft w:val="547"/>
          <w:marRight w:val="0"/>
          <w:marTop w:val="0"/>
          <w:marBottom w:val="0"/>
          <w:divBdr>
            <w:top w:val="none" w:sz="0" w:space="0" w:color="auto"/>
            <w:left w:val="none" w:sz="0" w:space="0" w:color="auto"/>
            <w:bottom w:val="none" w:sz="0" w:space="0" w:color="auto"/>
            <w:right w:val="none" w:sz="0" w:space="0" w:color="auto"/>
          </w:divBdr>
        </w:div>
        <w:div w:id="1619683541">
          <w:marLeft w:val="547"/>
          <w:marRight w:val="0"/>
          <w:marTop w:val="0"/>
          <w:marBottom w:val="0"/>
          <w:divBdr>
            <w:top w:val="none" w:sz="0" w:space="0" w:color="auto"/>
            <w:left w:val="none" w:sz="0" w:space="0" w:color="auto"/>
            <w:bottom w:val="none" w:sz="0" w:space="0" w:color="auto"/>
            <w:right w:val="none" w:sz="0" w:space="0" w:color="auto"/>
          </w:divBdr>
        </w:div>
        <w:div w:id="142897969">
          <w:marLeft w:val="547"/>
          <w:marRight w:val="0"/>
          <w:marTop w:val="0"/>
          <w:marBottom w:val="0"/>
          <w:divBdr>
            <w:top w:val="none" w:sz="0" w:space="0" w:color="auto"/>
            <w:left w:val="none" w:sz="0" w:space="0" w:color="auto"/>
            <w:bottom w:val="none" w:sz="0" w:space="0" w:color="auto"/>
            <w:right w:val="none" w:sz="0" w:space="0" w:color="auto"/>
          </w:divBdr>
        </w:div>
        <w:div w:id="1186332727">
          <w:marLeft w:val="547"/>
          <w:marRight w:val="0"/>
          <w:marTop w:val="0"/>
          <w:marBottom w:val="0"/>
          <w:divBdr>
            <w:top w:val="none" w:sz="0" w:space="0" w:color="auto"/>
            <w:left w:val="none" w:sz="0" w:space="0" w:color="auto"/>
            <w:bottom w:val="none" w:sz="0" w:space="0" w:color="auto"/>
            <w:right w:val="none" w:sz="0" w:space="0" w:color="auto"/>
          </w:divBdr>
        </w:div>
      </w:divsChild>
    </w:div>
    <w:div w:id="74010723">
      <w:bodyDiv w:val="1"/>
      <w:marLeft w:val="0"/>
      <w:marRight w:val="0"/>
      <w:marTop w:val="0"/>
      <w:marBottom w:val="0"/>
      <w:divBdr>
        <w:top w:val="none" w:sz="0" w:space="0" w:color="auto"/>
        <w:left w:val="none" w:sz="0" w:space="0" w:color="auto"/>
        <w:bottom w:val="none" w:sz="0" w:space="0" w:color="auto"/>
        <w:right w:val="none" w:sz="0" w:space="0" w:color="auto"/>
      </w:divBdr>
      <w:divsChild>
        <w:div w:id="1457063860">
          <w:marLeft w:val="547"/>
          <w:marRight w:val="0"/>
          <w:marTop w:val="0"/>
          <w:marBottom w:val="0"/>
          <w:divBdr>
            <w:top w:val="none" w:sz="0" w:space="0" w:color="auto"/>
            <w:left w:val="none" w:sz="0" w:space="0" w:color="auto"/>
            <w:bottom w:val="none" w:sz="0" w:space="0" w:color="auto"/>
            <w:right w:val="none" w:sz="0" w:space="0" w:color="auto"/>
          </w:divBdr>
        </w:div>
        <w:div w:id="139424239">
          <w:marLeft w:val="547"/>
          <w:marRight w:val="0"/>
          <w:marTop w:val="0"/>
          <w:marBottom w:val="0"/>
          <w:divBdr>
            <w:top w:val="none" w:sz="0" w:space="0" w:color="auto"/>
            <w:left w:val="none" w:sz="0" w:space="0" w:color="auto"/>
            <w:bottom w:val="none" w:sz="0" w:space="0" w:color="auto"/>
            <w:right w:val="none" w:sz="0" w:space="0" w:color="auto"/>
          </w:divBdr>
        </w:div>
        <w:div w:id="927889692">
          <w:marLeft w:val="547"/>
          <w:marRight w:val="0"/>
          <w:marTop w:val="0"/>
          <w:marBottom w:val="0"/>
          <w:divBdr>
            <w:top w:val="none" w:sz="0" w:space="0" w:color="auto"/>
            <w:left w:val="none" w:sz="0" w:space="0" w:color="auto"/>
            <w:bottom w:val="none" w:sz="0" w:space="0" w:color="auto"/>
            <w:right w:val="none" w:sz="0" w:space="0" w:color="auto"/>
          </w:divBdr>
        </w:div>
        <w:div w:id="776633982">
          <w:marLeft w:val="547"/>
          <w:marRight w:val="0"/>
          <w:marTop w:val="0"/>
          <w:marBottom w:val="0"/>
          <w:divBdr>
            <w:top w:val="none" w:sz="0" w:space="0" w:color="auto"/>
            <w:left w:val="none" w:sz="0" w:space="0" w:color="auto"/>
            <w:bottom w:val="none" w:sz="0" w:space="0" w:color="auto"/>
            <w:right w:val="none" w:sz="0" w:space="0" w:color="auto"/>
          </w:divBdr>
        </w:div>
        <w:div w:id="1278442346">
          <w:marLeft w:val="547"/>
          <w:marRight w:val="0"/>
          <w:marTop w:val="0"/>
          <w:marBottom w:val="0"/>
          <w:divBdr>
            <w:top w:val="none" w:sz="0" w:space="0" w:color="auto"/>
            <w:left w:val="none" w:sz="0" w:space="0" w:color="auto"/>
            <w:bottom w:val="none" w:sz="0" w:space="0" w:color="auto"/>
            <w:right w:val="none" w:sz="0" w:space="0" w:color="auto"/>
          </w:divBdr>
        </w:div>
        <w:div w:id="966853621">
          <w:marLeft w:val="547"/>
          <w:marRight w:val="0"/>
          <w:marTop w:val="0"/>
          <w:marBottom w:val="0"/>
          <w:divBdr>
            <w:top w:val="none" w:sz="0" w:space="0" w:color="auto"/>
            <w:left w:val="none" w:sz="0" w:space="0" w:color="auto"/>
            <w:bottom w:val="none" w:sz="0" w:space="0" w:color="auto"/>
            <w:right w:val="none" w:sz="0" w:space="0" w:color="auto"/>
          </w:divBdr>
        </w:div>
        <w:div w:id="583149930">
          <w:marLeft w:val="547"/>
          <w:marRight w:val="0"/>
          <w:marTop w:val="0"/>
          <w:marBottom w:val="0"/>
          <w:divBdr>
            <w:top w:val="none" w:sz="0" w:space="0" w:color="auto"/>
            <w:left w:val="none" w:sz="0" w:space="0" w:color="auto"/>
            <w:bottom w:val="none" w:sz="0" w:space="0" w:color="auto"/>
            <w:right w:val="none" w:sz="0" w:space="0" w:color="auto"/>
          </w:divBdr>
        </w:div>
        <w:div w:id="1309750976">
          <w:marLeft w:val="547"/>
          <w:marRight w:val="0"/>
          <w:marTop w:val="0"/>
          <w:marBottom w:val="0"/>
          <w:divBdr>
            <w:top w:val="none" w:sz="0" w:space="0" w:color="auto"/>
            <w:left w:val="none" w:sz="0" w:space="0" w:color="auto"/>
            <w:bottom w:val="none" w:sz="0" w:space="0" w:color="auto"/>
            <w:right w:val="none" w:sz="0" w:space="0" w:color="auto"/>
          </w:divBdr>
        </w:div>
        <w:div w:id="46954856">
          <w:marLeft w:val="547"/>
          <w:marRight w:val="0"/>
          <w:marTop w:val="0"/>
          <w:marBottom w:val="0"/>
          <w:divBdr>
            <w:top w:val="none" w:sz="0" w:space="0" w:color="auto"/>
            <w:left w:val="none" w:sz="0" w:space="0" w:color="auto"/>
            <w:bottom w:val="none" w:sz="0" w:space="0" w:color="auto"/>
            <w:right w:val="none" w:sz="0" w:space="0" w:color="auto"/>
          </w:divBdr>
        </w:div>
        <w:div w:id="474226406">
          <w:marLeft w:val="547"/>
          <w:marRight w:val="0"/>
          <w:marTop w:val="0"/>
          <w:marBottom w:val="0"/>
          <w:divBdr>
            <w:top w:val="none" w:sz="0" w:space="0" w:color="auto"/>
            <w:left w:val="none" w:sz="0" w:space="0" w:color="auto"/>
            <w:bottom w:val="none" w:sz="0" w:space="0" w:color="auto"/>
            <w:right w:val="none" w:sz="0" w:space="0" w:color="auto"/>
          </w:divBdr>
        </w:div>
        <w:div w:id="1137064695">
          <w:marLeft w:val="446"/>
          <w:marRight w:val="0"/>
          <w:marTop w:val="0"/>
          <w:marBottom w:val="0"/>
          <w:divBdr>
            <w:top w:val="none" w:sz="0" w:space="0" w:color="auto"/>
            <w:left w:val="none" w:sz="0" w:space="0" w:color="auto"/>
            <w:bottom w:val="none" w:sz="0" w:space="0" w:color="auto"/>
            <w:right w:val="none" w:sz="0" w:space="0" w:color="auto"/>
          </w:divBdr>
        </w:div>
        <w:div w:id="1576159204">
          <w:marLeft w:val="547"/>
          <w:marRight w:val="0"/>
          <w:marTop w:val="0"/>
          <w:marBottom w:val="0"/>
          <w:divBdr>
            <w:top w:val="none" w:sz="0" w:space="0" w:color="auto"/>
            <w:left w:val="none" w:sz="0" w:space="0" w:color="auto"/>
            <w:bottom w:val="none" w:sz="0" w:space="0" w:color="auto"/>
            <w:right w:val="none" w:sz="0" w:space="0" w:color="auto"/>
          </w:divBdr>
        </w:div>
        <w:div w:id="1971127376">
          <w:marLeft w:val="547"/>
          <w:marRight w:val="0"/>
          <w:marTop w:val="0"/>
          <w:marBottom w:val="0"/>
          <w:divBdr>
            <w:top w:val="none" w:sz="0" w:space="0" w:color="auto"/>
            <w:left w:val="none" w:sz="0" w:space="0" w:color="auto"/>
            <w:bottom w:val="none" w:sz="0" w:space="0" w:color="auto"/>
            <w:right w:val="none" w:sz="0" w:space="0" w:color="auto"/>
          </w:divBdr>
        </w:div>
        <w:div w:id="574515241">
          <w:marLeft w:val="547"/>
          <w:marRight w:val="0"/>
          <w:marTop w:val="0"/>
          <w:marBottom w:val="0"/>
          <w:divBdr>
            <w:top w:val="none" w:sz="0" w:space="0" w:color="auto"/>
            <w:left w:val="none" w:sz="0" w:space="0" w:color="auto"/>
            <w:bottom w:val="none" w:sz="0" w:space="0" w:color="auto"/>
            <w:right w:val="none" w:sz="0" w:space="0" w:color="auto"/>
          </w:divBdr>
        </w:div>
        <w:div w:id="484663527">
          <w:marLeft w:val="547"/>
          <w:marRight w:val="0"/>
          <w:marTop w:val="0"/>
          <w:marBottom w:val="0"/>
          <w:divBdr>
            <w:top w:val="none" w:sz="0" w:space="0" w:color="auto"/>
            <w:left w:val="none" w:sz="0" w:space="0" w:color="auto"/>
            <w:bottom w:val="none" w:sz="0" w:space="0" w:color="auto"/>
            <w:right w:val="none" w:sz="0" w:space="0" w:color="auto"/>
          </w:divBdr>
        </w:div>
        <w:div w:id="1169060806">
          <w:marLeft w:val="547"/>
          <w:marRight w:val="0"/>
          <w:marTop w:val="0"/>
          <w:marBottom w:val="0"/>
          <w:divBdr>
            <w:top w:val="none" w:sz="0" w:space="0" w:color="auto"/>
            <w:left w:val="none" w:sz="0" w:space="0" w:color="auto"/>
            <w:bottom w:val="none" w:sz="0" w:space="0" w:color="auto"/>
            <w:right w:val="none" w:sz="0" w:space="0" w:color="auto"/>
          </w:divBdr>
        </w:div>
        <w:div w:id="1489521163">
          <w:marLeft w:val="547"/>
          <w:marRight w:val="0"/>
          <w:marTop w:val="0"/>
          <w:marBottom w:val="0"/>
          <w:divBdr>
            <w:top w:val="none" w:sz="0" w:space="0" w:color="auto"/>
            <w:left w:val="none" w:sz="0" w:space="0" w:color="auto"/>
            <w:bottom w:val="none" w:sz="0" w:space="0" w:color="auto"/>
            <w:right w:val="none" w:sz="0" w:space="0" w:color="auto"/>
          </w:divBdr>
        </w:div>
        <w:div w:id="536964837">
          <w:marLeft w:val="547"/>
          <w:marRight w:val="0"/>
          <w:marTop w:val="0"/>
          <w:marBottom w:val="0"/>
          <w:divBdr>
            <w:top w:val="none" w:sz="0" w:space="0" w:color="auto"/>
            <w:left w:val="none" w:sz="0" w:space="0" w:color="auto"/>
            <w:bottom w:val="none" w:sz="0" w:space="0" w:color="auto"/>
            <w:right w:val="none" w:sz="0" w:space="0" w:color="auto"/>
          </w:divBdr>
        </w:div>
        <w:div w:id="1984187705">
          <w:marLeft w:val="547"/>
          <w:marRight w:val="0"/>
          <w:marTop w:val="0"/>
          <w:marBottom w:val="0"/>
          <w:divBdr>
            <w:top w:val="none" w:sz="0" w:space="0" w:color="auto"/>
            <w:left w:val="none" w:sz="0" w:space="0" w:color="auto"/>
            <w:bottom w:val="none" w:sz="0" w:space="0" w:color="auto"/>
            <w:right w:val="none" w:sz="0" w:space="0" w:color="auto"/>
          </w:divBdr>
        </w:div>
        <w:div w:id="656999279">
          <w:marLeft w:val="547"/>
          <w:marRight w:val="0"/>
          <w:marTop w:val="0"/>
          <w:marBottom w:val="0"/>
          <w:divBdr>
            <w:top w:val="none" w:sz="0" w:space="0" w:color="auto"/>
            <w:left w:val="none" w:sz="0" w:space="0" w:color="auto"/>
            <w:bottom w:val="none" w:sz="0" w:space="0" w:color="auto"/>
            <w:right w:val="none" w:sz="0" w:space="0" w:color="auto"/>
          </w:divBdr>
        </w:div>
        <w:div w:id="365368978">
          <w:marLeft w:val="547"/>
          <w:marRight w:val="0"/>
          <w:marTop w:val="0"/>
          <w:marBottom w:val="0"/>
          <w:divBdr>
            <w:top w:val="none" w:sz="0" w:space="0" w:color="auto"/>
            <w:left w:val="none" w:sz="0" w:space="0" w:color="auto"/>
            <w:bottom w:val="none" w:sz="0" w:space="0" w:color="auto"/>
            <w:right w:val="none" w:sz="0" w:space="0" w:color="auto"/>
          </w:divBdr>
        </w:div>
        <w:div w:id="573320372">
          <w:marLeft w:val="547"/>
          <w:marRight w:val="0"/>
          <w:marTop w:val="0"/>
          <w:marBottom w:val="0"/>
          <w:divBdr>
            <w:top w:val="none" w:sz="0" w:space="0" w:color="auto"/>
            <w:left w:val="none" w:sz="0" w:space="0" w:color="auto"/>
            <w:bottom w:val="none" w:sz="0" w:space="0" w:color="auto"/>
            <w:right w:val="none" w:sz="0" w:space="0" w:color="auto"/>
          </w:divBdr>
        </w:div>
        <w:div w:id="729038200">
          <w:marLeft w:val="547"/>
          <w:marRight w:val="0"/>
          <w:marTop w:val="0"/>
          <w:marBottom w:val="0"/>
          <w:divBdr>
            <w:top w:val="none" w:sz="0" w:space="0" w:color="auto"/>
            <w:left w:val="none" w:sz="0" w:space="0" w:color="auto"/>
            <w:bottom w:val="none" w:sz="0" w:space="0" w:color="auto"/>
            <w:right w:val="none" w:sz="0" w:space="0" w:color="auto"/>
          </w:divBdr>
        </w:div>
      </w:divsChild>
    </w:div>
    <w:div w:id="120534230">
      <w:bodyDiv w:val="1"/>
      <w:marLeft w:val="0"/>
      <w:marRight w:val="0"/>
      <w:marTop w:val="0"/>
      <w:marBottom w:val="0"/>
      <w:divBdr>
        <w:top w:val="none" w:sz="0" w:space="0" w:color="auto"/>
        <w:left w:val="none" w:sz="0" w:space="0" w:color="auto"/>
        <w:bottom w:val="none" w:sz="0" w:space="0" w:color="auto"/>
        <w:right w:val="none" w:sz="0" w:space="0" w:color="auto"/>
      </w:divBdr>
      <w:divsChild>
        <w:div w:id="948967598">
          <w:marLeft w:val="187"/>
          <w:marRight w:val="0"/>
          <w:marTop w:val="40"/>
          <w:marBottom w:val="40"/>
          <w:divBdr>
            <w:top w:val="none" w:sz="0" w:space="0" w:color="auto"/>
            <w:left w:val="none" w:sz="0" w:space="0" w:color="auto"/>
            <w:bottom w:val="none" w:sz="0" w:space="0" w:color="auto"/>
            <w:right w:val="none" w:sz="0" w:space="0" w:color="auto"/>
          </w:divBdr>
        </w:div>
        <w:div w:id="1938295404">
          <w:marLeft w:val="187"/>
          <w:marRight w:val="0"/>
          <w:marTop w:val="40"/>
          <w:marBottom w:val="40"/>
          <w:divBdr>
            <w:top w:val="none" w:sz="0" w:space="0" w:color="auto"/>
            <w:left w:val="none" w:sz="0" w:space="0" w:color="auto"/>
            <w:bottom w:val="none" w:sz="0" w:space="0" w:color="auto"/>
            <w:right w:val="none" w:sz="0" w:space="0" w:color="auto"/>
          </w:divBdr>
        </w:div>
        <w:div w:id="998121313">
          <w:marLeft w:val="187"/>
          <w:marRight w:val="0"/>
          <w:marTop w:val="40"/>
          <w:marBottom w:val="40"/>
          <w:divBdr>
            <w:top w:val="none" w:sz="0" w:space="0" w:color="auto"/>
            <w:left w:val="none" w:sz="0" w:space="0" w:color="auto"/>
            <w:bottom w:val="none" w:sz="0" w:space="0" w:color="auto"/>
            <w:right w:val="none" w:sz="0" w:space="0" w:color="auto"/>
          </w:divBdr>
        </w:div>
        <w:div w:id="1353069898">
          <w:marLeft w:val="187"/>
          <w:marRight w:val="0"/>
          <w:marTop w:val="40"/>
          <w:marBottom w:val="40"/>
          <w:divBdr>
            <w:top w:val="none" w:sz="0" w:space="0" w:color="auto"/>
            <w:left w:val="none" w:sz="0" w:space="0" w:color="auto"/>
            <w:bottom w:val="none" w:sz="0" w:space="0" w:color="auto"/>
            <w:right w:val="none" w:sz="0" w:space="0" w:color="auto"/>
          </w:divBdr>
        </w:div>
        <w:div w:id="551431887">
          <w:marLeft w:val="187"/>
          <w:marRight w:val="0"/>
          <w:marTop w:val="40"/>
          <w:marBottom w:val="40"/>
          <w:divBdr>
            <w:top w:val="none" w:sz="0" w:space="0" w:color="auto"/>
            <w:left w:val="none" w:sz="0" w:space="0" w:color="auto"/>
            <w:bottom w:val="none" w:sz="0" w:space="0" w:color="auto"/>
            <w:right w:val="none" w:sz="0" w:space="0" w:color="auto"/>
          </w:divBdr>
        </w:div>
      </w:divsChild>
    </w:div>
    <w:div w:id="148207621">
      <w:bodyDiv w:val="1"/>
      <w:marLeft w:val="0"/>
      <w:marRight w:val="0"/>
      <w:marTop w:val="0"/>
      <w:marBottom w:val="0"/>
      <w:divBdr>
        <w:top w:val="none" w:sz="0" w:space="0" w:color="auto"/>
        <w:left w:val="none" w:sz="0" w:space="0" w:color="auto"/>
        <w:bottom w:val="none" w:sz="0" w:space="0" w:color="auto"/>
        <w:right w:val="none" w:sz="0" w:space="0" w:color="auto"/>
      </w:divBdr>
    </w:div>
    <w:div w:id="159930856">
      <w:bodyDiv w:val="1"/>
      <w:marLeft w:val="0"/>
      <w:marRight w:val="0"/>
      <w:marTop w:val="0"/>
      <w:marBottom w:val="0"/>
      <w:divBdr>
        <w:top w:val="none" w:sz="0" w:space="0" w:color="auto"/>
        <w:left w:val="none" w:sz="0" w:space="0" w:color="auto"/>
        <w:bottom w:val="none" w:sz="0" w:space="0" w:color="auto"/>
        <w:right w:val="none" w:sz="0" w:space="0" w:color="auto"/>
      </w:divBdr>
      <w:divsChild>
        <w:div w:id="1829858675">
          <w:marLeft w:val="547"/>
          <w:marRight w:val="0"/>
          <w:marTop w:val="0"/>
          <w:marBottom w:val="0"/>
          <w:divBdr>
            <w:top w:val="none" w:sz="0" w:space="0" w:color="auto"/>
            <w:left w:val="none" w:sz="0" w:space="0" w:color="auto"/>
            <w:bottom w:val="none" w:sz="0" w:space="0" w:color="auto"/>
            <w:right w:val="none" w:sz="0" w:space="0" w:color="auto"/>
          </w:divBdr>
        </w:div>
        <w:div w:id="1579825834">
          <w:marLeft w:val="547"/>
          <w:marRight w:val="0"/>
          <w:marTop w:val="0"/>
          <w:marBottom w:val="0"/>
          <w:divBdr>
            <w:top w:val="none" w:sz="0" w:space="0" w:color="auto"/>
            <w:left w:val="none" w:sz="0" w:space="0" w:color="auto"/>
            <w:bottom w:val="none" w:sz="0" w:space="0" w:color="auto"/>
            <w:right w:val="none" w:sz="0" w:space="0" w:color="auto"/>
          </w:divBdr>
        </w:div>
        <w:div w:id="1797411601">
          <w:marLeft w:val="547"/>
          <w:marRight w:val="0"/>
          <w:marTop w:val="0"/>
          <w:marBottom w:val="0"/>
          <w:divBdr>
            <w:top w:val="none" w:sz="0" w:space="0" w:color="auto"/>
            <w:left w:val="none" w:sz="0" w:space="0" w:color="auto"/>
            <w:bottom w:val="none" w:sz="0" w:space="0" w:color="auto"/>
            <w:right w:val="none" w:sz="0" w:space="0" w:color="auto"/>
          </w:divBdr>
        </w:div>
        <w:div w:id="1209537660">
          <w:marLeft w:val="547"/>
          <w:marRight w:val="0"/>
          <w:marTop w:val="0"/>
          <w:marBottom w:val="0"/>
          <w:divBdr>
            <w:top w:val="none" w:sz="0" w:space="0" w:color="auto"/>
            <w:left w:val="none" w:sz="0" w:space="0" w:color="auto"/>
            <w:bottom w:val="none" w:sz="0" w:space="0" w:color="auto"/>
            <w:right w:val="none" w:sz="0" w:space="0" w:color="auto"/>
          </w:divBdr>
        </w:div>
        <w:div w:id="609319681">
          <w:marLeft w:val="547"/>
          <w:marRight w:val="0"/>
          <w:marTop w:val="0"/>
          <w:marBottom w:val="0"/>
          <w:divBdr>
            <w:top w:val="none" w:sz="0" w:space="0" w:color="auto"/>
            <w:left w:val="none" w:sz="0" w:space="0" w:color="auto"/>
            <w:bottom w:val="none" w:sz="0" w:space="0" w:color="auto"/>
            <w:right w:val="none" w:sz="0" w:space="0" w:color="auto"/>
          </w:divBdr>
        </w:div>
        <w:div w:id="67003783">
          <w:marLeft w:val="547"/>
          <w:marRight w:val="0"/>
          <w:marTop w:val="0"/>
          <w:marBottom w:val="0"/>
          <w:divBdr>
            <w:top w:val="none" w:sz="0" w:space="0" w:color="auto"/>
            <w:left w:val="none" w:sz="0" w:space="0" w:color="auto"/>
            <w:bottom w:val="none" w:sz="0" w:space="0" w:color="auto"/>
            <w:right w:val="none" w:sz="0" w:space="0" w:color="auto"/>
          </w:divBdr>
        </w:div>
        <w:div w:id="794560013">
          <w:marLeft w:val="547"/>
          <w:marRight w:val="0"/>
          <w:marTop w:val="0"/>
          <w:marBottom w:val="0"/>
          <w:divBdr>
            <w:top w:val="none" w:sz="0" w:space="0" w:color="auto"/>
            <w:left w:val="none" w:sz="0" w:space="0" w:color="auto"/>
            <w:bottom w:val="none" w:sz="0" w:space="0" w:color="auto"/>
            <w:right w:val="none" w:sz="0" w:space="0" w:color="auto"/>
          </w:divBdr>
        </w:div>
        <w:div w:id="253518948">
          <w:marLeft w:val="547"/>
          <w:marRight w:val="0"/>
          <w:marTop w:val="0"/>
          <w:marBottom w:val="0"/>
          <w:divBdr>
            <w:top w:val="none" w:sz="0" w:space="0" w:color="auto"/>
            <w:left w:val="none" w:sz="0" w:space="0" w:color="auto"/>
            <w:bottom w:val="none" w:sz="0" w:space="0" w:color="auto"/>
            <w:right w:val="none" w:sz="0" w:space="0" w:color="auto"/>
          </w:divBdr>
        </w:div>
        <w:div w:id="1086421177">
          <w:marLeft w:val="547"/>
          <w:marRight w:val="0"/>
          <w:marTop w:val="0"/>
          <w:marBottom w:val="0"/>
          <w:divBdr>
            <w:top w:val="none" w:sz="0" w:space="0" w:color="auto"/>
            <w:left w:val="none" w:sz="0" w:space="0" w:color="auto"/>
            <w:bottom w:val="none" w:sz="0" w:space="0" w:color="auto"/>
            <w:right w:val="none" w:sz="0" w:space="0" w:color="auto"/>
          </w:divBdr>
        </w:div>
        <w:div w:id="1340035437">
          <w:marLeft w:val="547"/>
          <w:marRight w:val="0"/>
          <w:marTop w:val="0"/>
          <w:marBottom w:val="0"/>
          <w:divBdr>
            <w:top w:val="none" w:sz="0" w:space="0" w:color="auto"/>
            <w:left w:val="none" w:sz="0" w:space="0" w:color="auto"/>
            <w:bottom w:val="none" w:sz="0" w:space="0" w:color="auto"/>
            <w:right w:val="none" w:sz="0" w:space="0" w:color="auto"/>
          </w:divBdr>
        </w:div>
        <w:div w:id="810369339">
          <w:marLeft w:val="547"/>
          <w:marRight w:val="0"/>
          <w:marTop w:val="0"/>
          <w:marBottom w:val="0"/>
          <w:divBdr>
            <w:top w:val="none" w:sz="0" w:space="0" w:color="auto"/>
            <w:left w:val="none" w:sz="0" w:space="0" w:color="auto"/>
            <w:bottom w:val="none" w:sz="0" w:space="0" w:color="auto"/>
            <w:right w:val="none" w:sz="0" w:space="0" w:color="auto"/>
          </w:divBdr>
        </w:div>
        <w:div w:id="1224104207">
          <w:marLeft w:val="547"/>
          <w:marRight w:val="0"/>
          <w:marTop w:val="0"/>
          <w:marBottom w:val="0"/>
          <w:divBdr>
            <w:top w:val="none" w:sz="0" w:space="0" w:color="auto"/>
            <w:left w:val="none" w:sz="0" w:space="0" w:color="auto"/>
            <w:bottom w:val="none" w:sz="0" w:space="0" w:color="auto"/>
            <w:right w:val="none" w:sz="0" w:space="0" w:color="auto"/>
          </w:divBdr>
        </w:div>
      </w:divsChild>
    </w:div>
    <w:div w:id="172845447">
      <w:bodyDiv w:val="1"/>
      <w:marLeft w:val="0"/>
      <w:marRight w:val="0"/>
      <w:marTop w:val="0"/>
      <w:marBottom w:val="0"/>
      <w:divBdr>
        <w:top w:val="none" w:sz="0" w:space="0" w:color="auto"/>
        <w:left w:val="none" w:sz="0" w:space="0" w:color="auto"/>
        <w:bottom w:val="none" w:sz="0" w:space="0" w:color="auto"/>
        <w:right w:val="none" w:sz="0" w:space="0" w:color="auto"/>
      </w:divBdr>
    </w:div>
    <w:div w:id="182521621">
      <w:bodyDiv w:val="1"/>
      <w:marLeft w:val="0"/>
      <w:marRight w:val="0"/>
      <w:marTop w:val="0"/>
      <w:marBottom w:val="0"/>
      <w:divBdr>
        <w:top w:val="none" w:sz="0" w:space="0" w:color="auto"/>
        <w:left w:val="none" w:sz="0" w:space="0" w:color="auto"/>
        <w:bottom w:val="none" w:sz="0" w:space="0" w:color="auto"/>
        <w:right w:val="none" w:sz="0" w:space="0" w:color="auto"/>
      </w:divBdr>
      <w:divsChild>
        <w:div w:id="271671613">
          <w:marLeft w:val="547"/>
          <w:marRight w:val="0"/>
          <w:marTop w:val="0"/>
          <w:marBottom w:val="0"/>
          <w:divBdr>
            <w:top w:val="none" w:sz="0" w:space="0" w:color="auto"/>
            <w:left w:val="none" w:sz="0" w:space="0" w:color="auto"/>
            <w:bottom w:val="none" w:sz="0" w:space="0" w:color="auto"/>
            <w:right w:val="none" w:sz="0" w:space="0" w:color="auto"/>
          </w:divBdr>
        </w:div>
      </w:divsChild>
    </w:div>
    <w:div w:id="257712421">
      <w:bodyDiv w:val="1"/>
      <w:marLeft w:val="0"/>
      <w:marRight w:val="0"/>
      <w:marTop w:val="0"/>
      <w:marBottom w:val="0"/>
      <w:divBdr>
        <w:top w:val="none" w:sz="0" w:space="0" w:color="auto"/>
        <w:left w:val="none" w:sz="0" w:space="0" w:color="auto"/>
        <w:bottom w:val="none" w:sz="0" w:space="0" w:color="auto"/>
        <w:right w:val="none" w:sz="0" w:space="0" w:color="auto"/>
      </w:divBdr>
      <w:divsChild>
        <w:div w:id="273708270">
          <w:marLeft w:val="547"/>
          <w:marRight w:val="0"/>
          <w:marTop w:val="96"/>
          <w:marBottom w:val="0"/>
          <w:divBdr>
            <w:top w:val="none" w:sz="0" w:space="0" w:color="auto"/>
            <w:left w:val="none" w:sz="0" w:space="0" w:color="auto"/>
            <w:bottom w:val="none" w:sz="0" w:space="0" w:color="auto"/>
            <w:right w:val="none" w:sz="0" w:space="0" w:color="auto"/>
          </w:divBdr>
        </w:div>
        <w:div w:id="1878735144">
          <w:marLeft w:val="547"/>
          <w:marRight w:val="0"/>
          <w:marTop w:val="96"/>
          <w:marBottom w:val="0"/>
          <w:divBdr>
            <w:top w:val="none" w:sz="0" w:space="0" w:color="auto"/>
            <w:left w:val="none" w:sz="0" w:space="0" w:color="auto"/>
            <w:bottom w:val="none" w:sz="0" w:space="0" w:color="auto"/>
            <w:right w:val="none" w:sz="0" w:space="0" w:color="auto"/>
          </w:divBdr>
        </w:div>
        <w:div w:id="1154488324">
          <w:marLeft w:val="547"/>
          <w:marRight w:val="0"/>
          <w:marTop w:val="96"/>
          <w:marBottom w:val="0"/>
          <w:divBdr>
            <w:top w:val="none" w:sz="0" w:space="0" w:color="auto"/>
            <w:left w:val="none" w:sz="0" w:space="0" w:color="auto"/>
            <w:bottom w:val="none" w:sz="0" w:space="0" w:color="auto"/>
            <w:right w:val="none" w:sz="0" w:space="0" w:color="auto"/>
          </w:divBdr>
        </w:div>
        <w:div w:id="1145270097">
          <w:marLeft w:val="547"/>
          <w:marRight w:val="0"/>
          <w:marTop w:val="96"/>
          <w:marBottom w:val="0"/>
          <w:divBdr>
            <w:top w:val="none" w:sz="0" w:space="0" w:color="auto"/>
            <w:left w:val="none" w:sz="0" w:space="0" w:color="auto"/>
            <w:bottom w:val="none" w:sz="0" w:space="0" w:color="auto"/>
            <w:right w:val="none" w:sz="0" w:space="0" w:color="auto"/>
          </w:divBdr>
        </w:div>
        <w:div w:id="228661840">
          <w:marLeft w:val="547"/>
          <w:marRight w:val="0"/>
          <w:marTop w:val="96"/>
          <w:marBottom w:val="0"/>
          <w:divBdr>
            <w:top w:val="none" w:sz="0" w:space="0" w:color="auto"/>
            <w:left w:val="none" w:sz="0" w:space="0" w:color="auto"/>
            <w:bottom w:val="none" w:sz="0" w:space="0" w:color="auto"/>
            <w:right w:val="none" w:sz="0" w:space="0" w:color="auto"/>
          </w:divBdr>
        </w:div>
      </w:divsChild>
    </w:div>
    <w:div w:id="310672322">
      <w:bodyDiv w:val="1"/>
      <w:marLeft w:val="0"/>
      <w:marRight w:val="0"/>
      <w:marTop w:val="0"/>
      <w:marBottom w:val="0"/>
      <w:divBdr>
        <w:top w:val="none" w:sz="0" w:space="0" w:color="auto"/>
        <w:left w:val="none" w:sz="0" w:space="0" w:color="auto"/>
        <w:bottom w:val="none" w:sz="0" w:space="0" w:color="auto"/>
        <w:right w:val="none" w:sz="0" w:space="0" w:color="auto"/>
      </w:divBdr>
    </w:div>
    <w:div w:id="328364235">
      <w:bodyDiv w:val="1"/>
      <w:marLeft w:val="0"/>
      <w:marRight w:val="0"/>
      <w:marTop w:val="0"/>
      <w:marBottom w:val="0"/>
      <w:divBdr>
        <w:top w:val="none" w:sz="0" w:space="0" w:color="auto"/>
        <w:left w:val="none" w:sz="0" w:space="0" w:color="auto"/>
        <w:bottom w:val="none" w:sz="0" w:space="0" w:color="auto"/>
        <w:right w:val="none" w:sz="0" w:space="0" w:color="auto"/>
      </w:divBdr>
    </w:div>
    <w:div w:id="372579040">
      <w:bodyDiv w:val="1"/>
      <w:marLeft w:val="0"/>
      <w:marRight w:val="0"/>
      <w:marTop w:val="0"/>
      <w:marBottom w:val="0"/>
      <w:divBdr>
        <w:top w:val="none" w:sz="0" w:space="0" w:color="auto"/>
        <w:left w:val="none" w:sz="0" w:space="0" w:color="auto"/>
        <w:bottom w:val="none" w:sz="0" w:space="0" w:color="auto"/>
        <w:right w:val="none" w:sz="0" w:space="0" w:color="auto"/>
      </w:divBdr>
    </w:div>
    <w:div w:id="409927729">
      <w:bodyDiv w:val="1"/>
      <w:marLeft w:val="0"/>
      <w:marRight w:val="0"/>
      <w:marTop w:val="0"/>
      <w:marBottom w:val="0"/>
      <w:divBdr>
        <w:top w:val="none" w:sz="0" w:space="0" w:color="auto"/>
        <w:left w:val="none" w:sz="0" w:space="0" w:color="auto"/>
        <w:bottom w:val="none" w:sz="0" w:space="0" w:color="auto"/>
        <w:right w:val="none" w:sz="0" w:space="0" w:color="auto"/>
      </w:divBdr>
      <w:divsChild>
        <w:div w:id="1752965850">
          <w:marLeft w:val="547"/>
          <w:marRight w:val="0"/>
          <w:marTop w:val="0"/>
          <w:marBottom w:val="0"/>
          <w:divBdr>
            <w:top w:val="none" w:sz="0" w:space="0" w:color="auto"/>
            <w:left w:val="none" w:sz="0" w:space="0" w:color="auto"/>
            <w:bottom w:val="none" w:sz="0" w:space="0" w:color="auto"/>
            <w:right w:val="none" w:sz="0" w:space="0" w:color="auto"/>
          </w:divBdr>
        </w:div>
        <w:div w:id="655450124">
          <w:marLeft w:val="547"/>
          <w:marRight w:val="0"/>
          <w:marTop w:val="0"/>
          <w:marBottom w:val="0"/>
          <w:divBdr>
            <w:top w:val="none" w:sz="0" w:space="0" w:color="auto"/>
            <w:left w:val="none" w:sz="0" w:space="0" w:color="auto"/>
            <w:bottom w:val="none" w:sz="0" w:space="0" w:color="auto"/>
            <w:right w:val="none" w:sz="0" w:space="0" w:color="auto"/>
          </w:divBdr>
        </w:div>
        <w:div w:id="173692941">
          <w:marLeft w:val="547"/>
          <w:marRight w:val="0"/>
          <w:marTop w:val="0"/>
          <w:marBottom w:val="0"/>
          <w:divBdr>
            <w:top w:val="none" w:sz="0" w:space="0" w:color="auto"/>
            <w:left w:val="none" w:sz="0" w:space="0" w:color="auto"/>
            <w:bottom w:val="none" w:sz="0" w:space="0" w:color="auto"/>
            <w:right w:val="none" w:sz="0" w:space="0" w:color="auto"/>
          </w:divBdr>
        </w:div>
        <w:div w:id="418405365">
          <w:marLeft w:val="547"/>
          <w:marRight w:val="0"/>
          <w:marTop w:val="0"/>
          <w:marBottom w:val="0"/>
          <w:divBdr>
            <w:top w:val="none" w:sz="0" w:space="0" w:color="auto"/>
            <w:left w:val="none" w:sz="0" w:space="0" w:color="auto"/>
            <w:bottom w:val="none" w:sz="0" w:space="0" w:color="auto"/>
            <w:right w:val="none" w:sz="0" w:space="0" w:color="auto"/>
          </w:divBdr>
        </w:div>
        <w:div w:id="1485779815">
          <w:marLeft w:val="547"/>
          <w:marRight w:val="0"/>
          <w:marTop w:val="0"/>
          <w:marBottom w:val="0"/>
          <w:divBdr>
            <w:top w:val="none" w:sz="0" w:space="0" w:color="auto"/>
            <w:left w:val="none" w:sz="0" w:space="0" w:color="auto"/>
            <w:bottom w:val="none" w:sz="0" w:space="0" w:color="auto"/>
            <w:right w:val="none" w:sz="0" w:space="0" w:color="auto"/>
          </w:divBdr>
        </w:div>
      </w:divsChild>
    </w:div>
    <w:div w:id="419180836">
      <w:bodyDiv w:val="1"/>
      <w:marLeft w:val="0"/>
      <w:marRight w:val="0"/>
      <w:marTop w:val="0"/>
      <w:marBottom w:val="0"/>
      <w:divBdr>
        <w:top w:val="none" w:sz="0" w:space="0" w:color="auto"/>
        <w:left w:val="none" w:sz="0" w:space="0" w:color="auto"/>
        <w:bottom w:val="none" w:sz="0" w:space="0" w:color="auto"/>
        <w:right w:val="none" w:sz="0" w:space="0" w:color="auto"/>
      </w:divBdr>
    </w:div>
    <w:div w:id="430048338">
      <w:bodyDiv w:val="1"/>
      <w:marLeft w:val="0"/>
      <w:marRight w:val="0"/>
      <w:marTop w:val="0"/>
      <w:marBottom w:val="0"/>
      <w:divBdr>
        <w:top w:val="none" w:sz="0" w:space="0" w:color="auto"/>
        <w:left w:val="none" w:sz="0" w:space="0" w:color="auto"/>
        <w:bottom w:val="none" w:sz="0" w:space="0" w:color="auto"/>
        <w:right w:val="none" w:sz="0" w:space="0" w:color="auto"/>
      </w:divBdr>
      <w:divsChild>
        <w:div w:id="1303267235">
          <w:marLeft w:val="274"/>
          <w:marRight w:val="0"/>
          <w:marTop w:val="0"/>
          <w:marBottom w:val="0"/>
          <w:divBdr>
            <w:top w:val="none" w:sz="0" w:space="0" w:color="auto"/>
            <w:left w:val="none" w:sz="0" w:space="0" w:color="auto"/>
            <w:bottom w:val="none" w:sz="0" w:space="0" w:color="auto"/>
            <w:right w:val="none" w:sz="0" w:space="0" w:color="auto"/>
          </w:divBdr>
        </w:div>
        <w:div w:id="1044062650">
          <w:marLeft w:val="274"/>
          <w:marRight w:val="0"/>
          <w:marTop w:val="0"/>
          <w:marBottom w:val="0"/>
          <w:divBdr>
            <w:top w:val="none" w:sz="0" w:space="0" w:color="auto"/>
            <w:left w:val="none" w:sz="0" w:space="0" w:color="auto"/>
            <w:bottom w:val="none" w:sz="0" w:space="0" w:color="auto"/>
            <w:right w:val="none" w:sz="0" w:space="0" w:color="auto"/>
          </w:divBdr>
        </w:div>
        <w:div w:id="647243745">
          <w:marLeft w:val="274"/>
          <w:marRight w:val="0"/>
          <w:marTop w:val="0"/>
          <w:marBottom w:val="0"/>
          <w:divBdr>
            <w:top w:val="none" w:sz="0" w:space="0" w:color="auto"/>
            <w:left w:val="none" w:sz="0" w:space="0" w:color="auto"/>
            <w:bottom w:val="none" w:sz="0" w:space="0" w:color="auto"/>
            <w:right w:val="none" w:sz="0" w:space="0" w:color="auto"/>
          </w:divBdr>
        </w:div>
        <w:div w:id="1816527198">
          <w:marLeft w:val="274"/>
          <w:marRight w:val="0"/>
          <w:marTop w:val="0"/>
          <w:marBottom w:val="0"/>
          <w:divBdr>
            <w:top w:val="none" w:sz="0" w:space="0" w:color="auto"/>
            <w:left w:val="none" w:sz="0" w:space="0" w:color="auto"/>
            <w:bottom w:val="none" w:sz="0" w:space="0" w:color="auto"/>
            <w:right w:val="none" w:sz="0" w:space="0" w:color="auto"/>
          </w:divBdr>
        </w:div>
        <w:div w:id="1300301858">
          <w:marLeft w:val="274"/>
          <w:marRight w:val="0"/>
          <w:marTop w:val="0"/>
          <w:marBottom w:val="0"/>
          <w:divBdr>
            <w:top w:val="none" w:sz="0" w:space="0" w:color="auto"/>
            <w:left w:val="none" w:sz="0" w:space="0" w:color="auto"/>
            <w:bottom w:val="none" w:sz="0" w:space="0" w:color="auto"/>
            <w:right w:val="none" w:sz="0" w:space="0" w:color="auto"/>
          </w:divBdr>
        </w:div>
        <w:div w:id="1643533513">
          <w:marLeft w:val="274"/>
          <w:marRight w:val="0"/>
          <w:marTop w:val="0"/>
          <w:marBottom w:val="0"/>
          <w:divBdr>
            <w:top w:val="none" w:sz="0" w:space="0" w:color="auto"/>
            <w:left w:val="none" w:sz="0" w:space="0" w:color="auto"/>
            <w:bottom w:val="none" w:sz="0" w:space="0" w:color="auto"/>
            <w:right w:val="none" w:sz="0" w:space="0" w:color="auto"/>
          </w:divBdr>
        </w:div>
        <w:div w:id="1137188529">
          <w:marLeft w:val="274"/>
          <w:marRight w:val="0"/>
          <w:marTop w:val="0"/>
          <w:marBottom w:val="0"/>
          <w:divBdr>
            <w:top w:val="none" w:sz="0" w:space="0" w:color="auto"/>
            <w:left w:val="none" w:sz="0" w:space="0" w:color="auto"/>
            <w:bottom w:val="none" w:sz="0" w:space="0" w:color="auto"/>
            <w:right w:val="none" w:sz="0" w:space="0" w:color="auto"/>
          </w:divBdr>
        </w:div>
        <w:div w:id="1357001166">
          <w:marLeft w:val="274"/>
          <w:marRight w:val="0"/>
          <w:marTop w:val="0"/>
          <w:marBottom w:val="0"/>
          <w:divBdr>
            <w:top w:val="none" w:sz="0" w:space="0" w:color="auto"/>
            <w:left w:val="none" w:sz="0" w:space="0" w:color="auto"/>
            <w:bottom w:val="none" w:sz="0" w:space="0" w:color="auto"/>
            <w:right w:val="none" w:sz="0" w:space="0" w:color="auto"/>
          </w:divBdr>
        </w:div>
        <w:div w:id="117143673">
          <w:marLeft w:val="274"/>
          <w:marRight w:val="0"/>
          <w:marTop w:val="0"/>
          <w:marBottom w:val="0"/>
          <w:divBdr>
            <w:top w:val="none" w:sz="0" w:space="0" w:color="auto"/>
            <w:left w:val="none" w:sz="0" w:space="0" w:color="auto"/>
            <w:bottom w:val="none" w:sz="0" w:space="0" w:color="auto"/>
            <w:right w:val="none" w:sz="0" w:space="0" w:color="auto"/>
          </w:divBdr>
        </w:div>
        <w:div w:id="2009864228">
          <w:marLeft w:val="274"/>
          <w:marRight w:val="0"/>
          <w:marTop w:val="0"/>
          <w:marBottom w:val="0"/>
          <w:divBdr>
            <w:top w:val="none" w:sz="0" w:space="0" w:color="auto"/>
            <w:left w:val="none" w:sz="0" w:space="0" w:color="auto"/>
            <w:bottom w:val="none" w:sz="0" w:space="0" w:color="auto"/>
            <w:right w:val="none" w:sz="0" w:space="0" w:color="auto"/>
          </w:divBdr>
        </w:div>
        <w:div w:id="11802024">
          <w:marLeft w:val="274"/>
          <w:marRight w:val="0"/>
          <w:marTop w:val="0"/>
          <w:marBottom w:val="0"/>
          <w:divBdr>
            <w:top w:val="none" w:sz="0" w:space="0" w:color="auto"/>
            <w:left w:val="none" w:sz="0" w:space="0" w:color="auto"/>
            <w:bottom w:val="none" w:sz="0" w:space="0" w:color="auto"/>
            <w:right w:val="none" w:sz="0" w:space="0" w:color="auto"/>
          </w:divBdr>
        </w:div>
      </w:divsChild>
    </w:div>
    <w:div w:id="453328538">
      <w:bodyDiv w:val="1"/>
      <w:marLeft w:val="0"/>
      <w:marRight w:val="0"/>
      <w:marTop w:val="0"/>
      <w:marBottom w:val="0"/>
      <w:divBdr>
        <w:top w:val="none" w:sz="0" w:space="0" w:color="auto"/>
        <w:left w:val="none" w:sz="0" w:space="0" w:color="auto"/>
        <w:bottom w:val="none" w:sz="0" w:space="0" w:color="auto"/>
        <w:right w:val="none" w:sz="0" w:space="0" w:color="auto"/>
      </w:divBdr>
    </w:div>
    <w:div w:id="486827819">
      <w:bodyDiv w:val="1"/>
      <w:marLeft w:val="0"/>
      <w:marRight w:val="0"/>
      <w:marTop w:val="0"/>
      <w:marBottom w:val="0"/>
      <w:divBdr>
        <w:top w:val="none" w:sz="0" w:space="0" w:color="auto"/>
        <w:left w:val="none" w:sz="0" w:space="0" w:color="auto"/>
        <w:bottom w:val="none" w:sz="0" w:space="0" w:color="auto"/>
        <w:right w:val="none" w:sz="0" w:space="0" w:color="auto"/>
      </w:divBdr>
    </w:div>
    <w:div w:id="501163157">
      <w:bodyDiv w:val="1"/>
      <w:marLeft w:val="0"/>
      <w:marRight w:val="0"/>
      <w:marTop w:val="0"/>
      <w:marBottom w:val="0"/>
      <w:divBdr>
        <w:top w:val="none" w:sz="0" w:space="0" w:color="auto"/>
        <w:left w:val="none" w:sz="0" w:space="0" w:color="auto"/>
        <w:bottom w:val="none" w:sz="0" w:space="0" w:color="auto"/>
        <w:right w:val="none" w:sz="0" w:space="0" w:color="auto"/>
      </w:divBdr>
      <w:divsChild>
        <w:div w:id="763645441">
          <w:marLeft w:val="0"/>
          <w:marRight w:val="0"/>
          <w:marTop w:val="0"/>
          <w:marBottom w:val="0"/>
          <w:divBdr>
            <w:top w:val="none" w:sz="0" w:space="0" w:color="auto"/>
            <w:left w:val="none" w:sz="0" w:space="0" w:color="auto"/>
            <w:bottom w:val="none" w:sz="0" w:space="0" w:color="auto"/>
            <w:right w:val="none" w:sz="0" w:space="0" w:color="auto"/>
          </w:divBdr>
          <w:divsChild>
            <w:div w:id="814025473">
              <w:marLeft w:val="0"/>
              <w:marRight w:val="0"/>
              <w:marTop w:val="0"/>
              <w:marBottom w:val="0"/>
              <w:divBdr>
                <w:top w:val="none" w:sz="0" w:space="0" w:color="auto"/>
                <w:left w:val="none" w:sz="0" w:space="0" w:color="auto"/>
                <w:bottom w:val="none" w:sz="0" w:space="0" w:color="auto"/>
                <w:right w:val="none" w:sz="0" w:space="0" w:color="auto"/>
              </w:divBdr>
              <w:divsChild>
                <w:div w:id="1048262451">
                  <w:marLeft w:val="0"/>
                  <w:marRight w:val="0"/>
                  <w:marTop w:val="0"/>
                  <w:marBottom w:val="0"/>
                  <w:divBdr>
                    <w:top w:val="none" w:sz="0" w:space="0" w:color="auto"/>
                    <w:left w:val="none" w:sz="0" w:space="0" w:color="auto"/>
                    <w:bottom w:val="none" w:sz="0" w:space="0" w:color="auto"/>
                    <w:right w:val="none" w:sz="0" w:space="0" w:color="auto"/>
                  </w:divBdr>
                  <w:divsChild>
                    <w:div w:id="1351756434">
                      <w:marLeft w:val="0"/>
                      <w:marRight w:val="0"/>
                      <w:marTop w:val="0"/>
                      <w:marBottom w:val="0"/>
                      <w:divBdr>
                        <w:top w:val="none" w:sz="0" w:space="0" w:color="auto"/>
                        <w:left w:val="none" w:sz="0" w:space="0" w:color="auto"/>
                        <w:bottom w:val="none" w:sz="0" w:space="0" w:color="auto"/>
                        <w:right w:val="none" w:sz="0" w:space="0" w:color="auto"/>
                      </w:divBdr>
                      <w:divsChild>
                        <w:div w:id="1331758556">
                          <w:marLeft w:val="0"/>
                          <w:marRight w:val="0"/>
                          <w:marTop w:val="0"/>
                          <w:marBottom w:val="0"/>
                          <w:divBdr>
                            <w:top w:val="none" w:sz="0" w:space="0" w:color="auto"/>
                            <w:left w:val="none" w:sz="0" w:space="0" w:color="auto"/>
                            <w:bottom w:val="none" w:sz="0" w:space="0" w:color="auto"/>
                            <w:right w:val="none" w:sz="0" w:space="0" w:color="auto"/>
                          </w:divBdr>
                          <w:divsChild>
                            <w:div w:id="1253902999">
                              <w:marLeft w:val="0"/>
                              <w:marRight w:val="0"/>
                              <w:marTop w:val="0"/>
                              <w:marBottom w:val="0"/>
                              <w:divBdr>
                                <w:top w:val="none" w:sz="0" w:space="0" w:color="auto"/>
                                <w:left w:val="none" w:sz="0" w:space="0" w:color="auto"/>
                                <w:bottom w:val="none" w:sz="0" w:space="0" w:color="auto"/>
                                <w:right w:val="none" w:sz="0" w:space="0" w:color="auto"/>
                              </w:divBdr>
                              <w:divsChild>
                                <w:div w:id="223413430">
                                  <w:marLeft w:val="0"/>
                                  <w:marRight w:val="0"/>
                                  <w:marTop w:val="0"/>
                                  <w:marBottom w:val="0"/>
                                  <w:divBdr>
                                    <w:top w:val="none" w:sz="0" w:space="0" w:color="auto"/>
                                    <w:left w:val="none" w:sz="0" w:space="0" w:color="auto"/>
                                    <w:bottom w:val="none" w:sz="0" w:space="0" w:color="auto"/>
                                    <w:right w:val="none" w:sz="0" w:space="0" w:color="auto"/>
                                  </w:divBdr>
                                  <w:divsChild>
                                    <w:div w:id="1090738486">
                                      <w:marLeft w:val="0"/>
                                      <w:marRight w:val="0"/>
                                      <w:marTop w:val="0"/>
                                      <w:marBottom w:val="0"/>
                                      <w:divBdr>
                                        <w:top w:val="none" w:sz="0" w:space="0" w:color="auto"/>
                                        <w:left w:val="none" w:sz="0" w:space="0" w:color="auto"/>
                                        <w:bottom w:val="none" w:sz="0" w:space="0" w:color="auto"/>
                                        <w:right w:val="none" w:sz="0" w:space="0" w:color="auto"/>
                                      </w:divBdr>
                                      <w:divsChild>
                                        <w:div w:id="1512255500">
                                          <w:marLeft w:val="0"/>
                                          <w:marRight w:val="0"/>
                                          <w:marTop w:val="0"/>
                                          <w:marBottom w:val="0"/>
                                          <w:divBdr>
                                            <w:top w:val="none" w:sz="0" w:space="0" w:color="auto"/>
                                            <w:left w:val="none" w:sz="0" w:space="0" w:color="auto"/>
                                            <w:bottom w:val="none" w:sz="0" w:space="0" w:color="auto"/>
                                            <w:right w:val="none" w:sz="0" w:space="0" w:color="auto"/>
                                          </w:divBdr>
                                          <w:divsChild>
                                            <w:div w:id="528833962">
                                              <w:marLeft w:val="0"/>
                                              <w:marRight w:val="0"/>
                                              <w:marTop w:val="0"/>
                                              <w:marBottom w:val="0"/>
                                              <w:divBdr>
                                                <w:top w:val="none" w:sz="0" w:space="0" w:color="auto"/>
                                                <w:left w:val="none" w:sz="0" w:space="0" w:color="auto"/>
                                                <w:bottom w:val="none" w:sz="0" w:space="0" w:color="auto"/>
                                                <w:right w:val="none" w:sz="0" w:space="0" w:color="auto"/>
                                              </w:divBdr>
                                              <w:divsChild>
                                                <w:div w:id="1029449241">
                                                  <w:marLeft w:val="0"/>
                                                  <w:marRight w:val="0"/>
                                                  <w:marTop w:val="0"/>
                                                  <w:marBottom w:val="0"/>
                                                  <w:divBdr>
                                                    <w:top w:val="none" w:sz="0" w:space="0" w:color="auto"/>
                                                    <w:left w:val="none" w:sz="0" w:space="0" w:color="auto"/>
                                                    <w:bottom w:val="none" w:sz="0" w:space="0" w:color="auto"/>
                                                    <w:right w:val="none" w:sz="0" w:space="0" w:color="auto"/>
                                                  </w:divBdr>
                                                  <w:divsChild>
                                                    <w:div w:id="2063752634">
                                                      <w:marLeft w:val="0"/>
                                                      <w:marRight w:val="0"/>
                                                      <w:marTop w:val="0"/>
                                                      <w:marBottom w:val="0"/>
                                                      <w:divBdr>
                                                        <w:top w:val="none" w:sz="0" w:space="0" w:color="auto"/>
                                                        <w:left w:val="none" w:sz="0" w:space="0" w:color="auto"/>
                                                        <w:bottom w:val="none" w:sz="0" w:space="0" w:color="auto"/>
                                                        <w:right w:val="none" w:sz="0" w:space="0" w:color="auto"/>
                                                      </w:divBdr>
                                                      <w:divsChild>
                                                        <w:div w:id="14771811">
                                                          <w:marLeft w:val="0"/>
                                                          <w:marRight w:val="0"/>
                                                          <w:marTop w:val="0"/>
                                                          <w:marBottom w:val="0"/>
                                                          <w:divBdr>
                                                            <w:top w:val="none" w:sz="0" w:space="0" w:color="auto"/>
                                                            <w:left w:val="none" w:sz="0" w:space="0" w:color="auto"/>
                                                            <w:bottom w:val="none" w:sz="0" w:space="0" w:color="auto"/>
                                                            <w:right w:val="none" w:sz="0" w:space="0" w:color="auto"/>
                                                          </w:divBdr>
                                                          <w:divsChild>
                                                            <w:div w:id="239487835">
                                                              <w:marLeft w:val="0"/>
                                                              <w:marRight w:val="0"/>
                                                              <w:marTop w:val="0"/>
                                                              <w:marBottom w:val="0"/>
                                                              <w:divBdr>
                                                                <w:top w:val="none" w:sz="0" w:space="0" w:color="auto"/>
                                                                <w:left w:val="none" w:sz="0" w:space="0" w:color="auto"/>
                                                                <w:bottom w:val="none" w:sz="0" w:space="0" w:color="auto"/>
                                                                <w:right w:val="none" w:sz="0" w:space="0" w:color="auto"/>
                                                              </w:divBdr>
                                                              <w:divsChild>
                                                                <w:div w:id="404031726">
                                                                  <w:marLeft w:val="0"/>
                                                                  <w:marRight w:val="0"/>
                                                                  <w:marTop w:val="0"/>
                                                                  <w:marBottom w:val="0"/>
                                                                  <w:divBdr>
                                                                    <w:top w:val="none" w:sz="0" w:space="0" w:color="auto"/>
                                                                    <w:left w:val="none" w:sz="0" w:space="0" w:color="auto"/>
                                                                    <w:bottom w:val="none" w:sz="0" w:space="0" w:color="auto"/>
                                                                    <w:right w:val="none" w:sz="0" w:space="0" w:color="auto"/>
                                                                  </w:divBdr>
                                                                  <w:divsChild>
                                                                    <w:div w:id="1886797962">
                                                                      <w:marLeft w:val="0"/>
                                                                      <w:marRight w:val="0"/>
                                                                      <w:marTop w:val="0"/>
                                                                      <w:marBottom w:val="0"/>
                                                                      <w:divBdr>
                                                                        <w:top w:val="none" w:sz="0" w:space="0" w:color="auto"/>
                                                                        <w:left w:val="none" w:sz="0" w:space="0" w:color="auto"/>
                                                                        <w:bottom w:val="none" w:sz="0" w:space="0" w:color="auto"/>
                                                                        <w:right w:val="none" w:sz="0" w:space="0" w:color="auto"/>
                                                                      </w:divBdr>
                                                                      <w:divsChild>
                                                                        <w:div w:id="1600527912">
                                                                          <w:marLeft w:val="0"/>
                                                                          <w:marRight w:val="0"/>
                                                                          <w:marTop w:val="0"/>
                                                                          <w:marBottom w:val="0"/>
                                                                          <w:divBdr>
                                                                            <w:top w:val="none" w:sz="0" w:space="0" w:color="auto"/>
                                                                            <w:left w:val="none" w:sz="0" w:space="0" w:color="auto"/>
                                                                            <w:bottom w:val="none" w:sz="0" w:space="0" w:color="auto"/>
                                                                            <w:right w:val="none" w:sz="0" w:space="0" w:color="auto"/>
                                                                          </w:divBdr>
                                                                          <w:divsChild>
                                                                            <w:div w:id="1060444237">
                                                                              <w:marLeft w:val="0"/>
                                                                              <w:marRight w:val="0"/>
                                                                              <w:marTop w:val="0"/>
                                                                              <w:marBottom w:val="0"/>
                                                                              <w:divBdr>
                                                                                <w:top w:val="none" w:sz="0" w:space="0" w:color="auto"/>
                                                                                <w:left w:val="none" w:sz="0" w:space="0" w:color="auto"/>
                                                                                <w:bottom w:val="none" w:sz="0" w:space="0" w:color="auto"/>
                                                                                <w:right w:val="none" w:sz="0" w:space="0" w:color="auto"/>
                                                                              </w:divBdr>
                                                                              <w:divsChild>
                                                                                <w:div w:id="829366082">
                                                                                  <w:marLeft w:val="0"/>
                                                                                  <w:marRight w:val="0"/>
                                                                                  <w:marTop w:val="300"/>
                                                                                  <w:marBottom w:val="0"/>
                                                                                  <w:divBdr>
                                                                                    <w:top w:val="none" w:sz="0" w:space="0" w:color="auto"/>
                                                                                    <w:left w:val="none" w:sz="0" w:space="0" w:color="auto"/>
                                                                                    <w:bottom w:val="none" w:sz="0" w:space="0" w:color="auto"/>
                                                                                    <w:right w:val="none" w:sz="0" w:space="0" w:color="auto"/>
                                                                                  </w:divBdr>
                                                                                  <w:divsChild>
                                                                                    <w:div w:id="1013415285">
                                                                                      <w:marLeft w:val="0"/>
                                                                                      <w:marRight w:val="0"/>
                                                                                      <w:marTop w:val="100"/>
                                                                                      <w:marBottom w:val="100"/>
                                                                                      <w:divBdr>
                                                                                        <w:top w:val="none" w:sz="0" w:space="0" w:color="auto"/>
                                                                                        <w:left w:val="none" w:sz="0" w:space="0" w:color="auto"/>
                                                                                        <w:bottom w:val="none" w:sz="0" w:space="0" w:color="auto"/>
                                                                                        <w:right w:val="none" w:sz="0" w:space="0" w:color="auto"/>
                                                                                      </w:divBdr>
                                                                                      <w:divsChild>
                                                                                        <w:div w:id="416941498">
                                                                                          <w:marLeft w:val="0"/>
                                                                                          <w:marRight w:val="0"/>
                                                                                          <w:marTop w:val="0"/>
                                                                                          <w:marBottom w:val="0"/>
                                                                                          <w:divBdr>
                                                                                            <w:top w:val="none" w:sz="0" w:space="0" w:color="auto"/>
                                                                                            <w:left w:val="none" w:sz="0" w:space="0" w:color="auto"/>
                                                                                            <w:bottom w:val="none" w:sz="0" w:space="0" w:color="auto"/>
                                                                                            <w:right w:val="none" w:sz="0" w:space="0" w:color="auto"/>
                                                                                          </w:divBdr>
                                                                                          <w:divsChild>
                                                                                            <w:div w:id="1453939939">
                                                                                              <w:marLeft w:val="0"/>
                                                                                              <w:marRight w:val="0"/>
                                                                                              <w:marTop w:val="0"/>
                                                                                              <w:marBottom w:val="0"/>
                                                                                              <w:divBdr>
                                                                                                <w:top w:val="none" w:sz="0" w:space="0" w:color="auto"/>
                                                                                                <w:left w:val="none" w:sz="0" w:space="0" w:color="auto"/>
                                                                                                <w:bottom w:val="none" w:sz="0" w:space="0" w:color="auto"/>
                                                                                                <w:right w:val="none" w:sz="0" w:space="0" w:color="auto"/>
                                                                                              </w:divBdr>
                                                                                              <w:divsChild>
                                                                                                <w:div w:id="966815277">
                                                                                                  <w:marLeft w:val="0"/>
                                                                                                  <w:marRight w:val="0"/>
                                                                                                  <w:marTop w:val="0"/>
                                                                                                  <w:marBottom w:val="0"/>
                                                                                                  <w:divBdr>
                                                                                                    <w:top w:val="none" w:sz="0" w:space="0" w:color="auto"/>
                                                                                                    <w:left w:val="none" w:sz="0" w:space="0" w:color="auto"/>
                                                                                                    <w:bottom w:val="none" w:sz="0" w:space="0" w:color="auto"/>
                                                                                                    <w:right w:val="none" w:sz="0" w:space="0" w:color="auto"/>
                                                                                                  </w:divBdr>
                                                                                                  <w:divsChild>
                                                                                                    <w:div w:id="1187983164">
                                                                                                      <w:marLeft w:val="0"/>
                                                                                                      <w:marRight w:val="0"/>
                                                                                                      <w:marTop w:val="0"/>
                                                                                                      <w:marBottom w:val="0"/>
                                                                                                      <w:divBdr>
                                                                                                        <w:top w:val="none" w:sz="0" w:space="0" w:color="auto"/>
                                                                                                        <w:left w:val="none" w:sz="0" w:space="0" w:color="auto"/>
                                                                                                        <w:bottom w:val="none" w:sz="0" w:space="0" w:color="auto"/>
                                                                                                        <w:right w:val="none" w:sz="0" w:space="0" w:color="auto"/>
                                                                                                      </w:divBdr>
                                                                                                    </w:div>
                                                                                                  </w:divsChild>
                                                                                                </w:div>
                                                                                                <w:div w:id="322978212">
                                                                                                  <w:marLeft w:val="0"/>
                                                                                                  <w:marRight w:val="0"/>
                                                                                                  <w:marTop w:val="0"/>
                                                                                                  <w:marBottom w:val="0"/>
                                                                                                  <w:divBdr>
                                                                                                    <w:top w:val="none" w:sz="0" w:space="0" w:color="auto"/>
                                                                                                    <w:left w:val="none" w:sz="0" w:space="0" w:color="auto"/>
                                                                                                    <w:bottom w:val="none" w:sz="0" w:space="0" w:color="auto"/>
                                                                                                    <w:right w:val="none" w:sz="0" w:space="0" w:color="auto"/>
                                                                                                  </w:divBdr>
                                                                                                  <w:divsChild>
                                                                                                    <w:div w:id="10689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520816">
      <w:bodyDiv w:val="1"/>
      <w:marLeft w:val="0"/>
      <w:marRight w:val="0"/>
      <w:marTop w:val="0"/>
      <w:marBottom w:val="0"/>
      <w:divBdr>
        <w:top w:val="none" w:sz="0" w:space="0" w:color="auto"/>
        <w:left w:val="none" w:sz="0" w:space="0" w:color="auto"/>
        <w:bottom w:val="none" w:sz="0" w:space="0" w:color="auto"/>
        <w:right w:val="none" w:sz="0" w:space="0" w:color="auto"/>
      </w:divBdr>
    </w:div>
    <w:div w:id="515507539">
      <w:bodyDiv w:val="1"/>
      <w:marLeft w:val="0"/>
      <w:marRight w:val="0"/>
      <w:marTop w:val="0"/>
      <w:marBottom w:val="0"/>
      <w:divBdr>
        <w:top w:val="none" w:sz="0" w:space="0" w:color="auto"/>
        <w:left w:val="none" w:sz="0" w:space="0" w:color="auto"/>
        <w:bottom w:val="none" w:sz="0" w:space="0" w:color="auto"/>
        <w:right w:val="none" w:sz="0" w:space="0" w:color="auto"/>
      </w:divBdr>
      <w:divsChild>
        <w:div w:id="1626765779">
          <w:marLeft w:val="547"/>
          <w:marRight w:val="0"/>
          <w:marTop w:val="0"/>
          <w:marBottom w:val="0"/>
          <w:divBdr>
            <w:top w:val="none" w:sz="0" w:space="0" w:color="auto"/>
            <w:left w:val="none" w:sz="0" w:space="0" w:color="auto"/>
            <w:bottom w:val="none" w:sz="0" w:space="0" w:color="auto"/>
            <w:right w:val="none" w:sz="0" w:space="0" w:color="auto"/>
          </w:divBdr>
        </w:div>
        <w:div w:id="647713690">
          <w:marLeft w:val="547"/>
          <w:marRight w:val="0"/>
          <w:marTop w:val="0"/>
          <w:marBottom w:val="0"/>
          <w:divBdr>
            <w:top w:val="none" w:sz="0" w:space="0" w:color="auto"/>
            <w:left w:val="none" w:sz="0" w:space="0" w:color="auto"/>
            <w:bottom w:val="none" w:sz="0" w:space="0" w:color="auto"/>
            <w:right w:val="none" w:sz="0" w:space="0" w:color="auto"/>
          </w:divBdr>
        </w:div>
        <w:div w:id="661349979">
          <w:marLeft w:val="547"/>
          <w:marRight w:val="0"/>
          <w:marTop w:val="0"/>
          <w:marBottom w:val="0"/>
          <w:divBdr>
            <w:top w:val="none" w:sz="0" w:space="0" w:color="auto"/>
            <w:left w:val="none" w:sz="0" w:space="0" w:color="auto"/>
            <w:bottom w:val="none" w:sz="0" w:space="0" w:color="auto"/>
            <w:right w:val="none" w:sz="0" w:space="0" w:color="auto"/>
          </w:divBdr>
        </w:div>
        <w:div w:id="332535328">
          <w:marLeft w:val="547"/>
          <w:marRight w:val="0"/>
          <w:marTop w:val="0"/>
          <w:marBottom w:val="0"/>
          <w:divBdr>
            <w:top w:val="none" w:sz="0" w:space="0" w:color="auto"/>
            <w:left w:val="none" w:sz="0" w:space="0" w:color="auto"/>
            <w:bottom w:val="none" w:sz="0" w:space="0" w:color="auto"/>
            <w:right w:val="none" w:sz="0" w:space="0" w:color="auto"/>
          </w:divBdr>
        </w:div>
        <w:div w:id="209657509">
          <w:marLeft w:val="547"/>
          <w:marRight w:val="0"/>
          <w:marTop w:val="0"/>
          <w:marBottom w:val="0"/>
          <w:divBdr>
            <w:top w:val="none" w:sz="0" w:space="0" w:color="auto"/>
            <w:left w:val="none" w:sz="0" w:space="0" w:color="auto"/>
            <w:bottom w:val="none" w:sz="0" w:space="0" w:color="auto"/>
            <w:right w:val="none" w:sz="0" w:space="0" w:color="auto"/>
          </w:divBdr>
        </w:div>
        <w:div w:id="1757510722">
          <w:marLeft w:val="547"/>
          <w:marRight w:val="0"/>
          <w:marTop w:val="0"/>
          <w:marBottom w:val="0"/>
          <w:divBdr>
            <w:top w:val="none" w:sz="0" w:space="0" w:color="auto"/>
            <w:left w:val="none" w:sz="0" w:space="0" w:color="auto"/>
            <w:bottom w:val="none" w:sz="0" w:space="0" w:color="auto"/>
            <w:right w:val="none" w:sz="0" w:space="0" w:color="auto"/>
          </w:divBdr>
        </w:div>
        <w:div w:id="1834373751">
          <w:marLeft w:val="547"/>
          <w:marRight w:val="0"/>
          <w:marTop w:val="0"/>
          <w:marBottom w:val="0"/>
          <w:divBdr>
            <w:top w:val="none" w:sz="0" w:space="0" w:color="auto"/>
            <w:left w:val="none" w:sz="0" w:space="0" w:color="auto"/>
            <w:bottom w:val="none" w:sz="0" w:space="0" w:color="auto"/>
            <w:right w:val="none" w:sz="0" w:space="0" w:color="auto"/>
          </w:divBdr>
        </w:div>
        <w:div w:id="1758282475">
          <w:marLeft w:val="547"/>
          <w:marRight w:val="0"/>
          <w:marTop w:val="0"/>
          <w:marBottom w:val="0"/>
          <w:divBdr>
            <w:top w:val="none" w:sz="0" w:space="0" w:color="auto"/>
            <w:left w:val="none" w:sz="0" w:space="0" w:color="auto"/>
            <w:bottom w:val="none" w:sz="0" w:space="0" w:color="auto"/>
            <w:right w:val="none" w:sz="0" w:space="0" w:color="auto"/>
          </w:divBdr>
        </w:div>
        <w:div w:id="160198344">
          <w:marLeft w:val="547"/>
          <w:marRight w:val="0"/>
          <w:marTop w:val="0"/>
          <w:marBottom w:val="0"/>
          <w:divBdr>
            <w:top w:val="none" w:sz="0" w:space="0" w:color="auto"/>
            <w:left w:val="none" w:sz="0" w:space="0" w:color="auto"/>
            <w:bottom w:val="none" w:sz="0" w:space="0" w:color="auto"/>
            <w:right w:val="none" w:sz="0" w:space="0" w:color="auto"/>
          </w:divBdr>
        </w:div>
        <w:div w:id="86586548">
          <w:marLeft w:val="547"/>
          <w:marRight w:val="0"/>
          <w:marTop w:val="0"/>
          <w:marBottom w:val="0"/>
          <w:divBdr>
            <w:top w:val="none" w:sz="0" w:space="0" w:color="auto"/>
            <w:left w:val="none" w:sz="0" w:space="0" w:color="auto"/>
            <w:bottom w:val="none" w:sz="0" w:space="0" w:color="auto"/>
            <w:right w:val="none" w:sz="0" w:space="0" w:color="auto"/>
          </w:divBdr>
        </w:div>
        <w:div w:id="2109230779">
          <w:marLeft w:val="547"/>
          <w:marRight w:val="0"/>
          <w:marTop w:val="0"/>
          <w:marBottom w:val="0"/>
          <w:divBdr>
            <w:top w:val="none" w:sz="0" w:space="0" w:color="auto"/>
            <w:left w:val="none" w:sz="0" w:space="0" w:color="auto"/>
            <w:bottom w:val="none" w:sz="0" w:space="0" w:color="auto"/>
            <w:right w:val="none" w:sz="0" w:space="0" w:color="auto"/>
          </w:divBdr>
        </w:div>
        <w:div w:id="601424125">
          <w:marLeft w:val="547"/>
          <w:marRight w:val="0"/>
          <w:marTop w:val="0"/>
          <w:marBottom w:val="0"/>
          <w:divBdr>
            <w:top w:val="none" w:sz="0" w:space="0" w:color="auto"/>
            <w:left w:val="none" w:sz="0" w:space="0" w:color="auto"/>
            <w:bottom w:val="none" w:sz="0" w:space="0" w:color="auto"/>
            <w:right w:val="none" w:sz="0" w:space="0" w:color="auto"/>
          </w:divBdr>
        </w:div>
        <w:div w:id="384253472">
          <w:marLeft w:val="547"/>
          <w:marRight w:val="0"/>
          <w:marTop w:val="0"/>
          <w:marBottom w:val="0"/>
          <w:divBdr>
            <w:top w:val="none" w:sz="0" w:space="0" w:color="auto"/>
            <w:left w:val="none" w:sz="0" w:space="0" w:color="auto"/>
            <w:bottom w:val="none" w:sz="0" w:space="0" w:color="auto"/>
            <w:right w:val="none" w:sz="0" w:space="0" w:color="auto"/>
          </w:divBdr>
        </w:div>
        <w:div w:id="1251963296">
          <w:marLeft w:val="547"/>
          <w:marRight w:val="0"/>
          <w:marTop w:val="0"/>
          <w:marBottom w:val="0"/>
          <w:divBdr>
            <w:top w:val="none" w:sz="0" w:space="0" w:color="auto"/>
            <w:left w:val="none" w:sz="0" w:space="0" w:color="auto"/>
            <w:bottom w:val="none" w:sz="0" w:space="0" w:color="auto"/>
            <w:right w:val="none" w:sz="0" w:space="0" w:color="auto"/>
          </w:divBdr>
        </w:div>
        <w:div w:id="1145777483">
          <w:marLeft w:val="547"/>
          <w:marRight w:val="0"/>
          <w:marTop w:val="0"/>
          <w:marBottom w:val="0"/>
          <w:divBdr>
            <w:top w:val="none" w:sz="0" w:space="0" w:color="auto"/>
            <w:left w:val="none" w:sz="0" w:space="0" w:color="auto"/>
            <w:bottom w:val="none" w:sz="0" w:space="0" w:color="auto"/>
            <w:right w:val="none" w:sz="0" w:space="0" w:color="auto"/>
          </w:divBdr>
        </w:div>
        <w:div w:id="1323393129">
          <w:marLeft w:val="547"/>
          <w:marRight w:val="0"/>
          <w:marTop w:val="0"/>
          <w:marBottom w:val="0"/>
          <w:divBdr>
            <w:top w:val="none" w:sz="0" w:space="0" w:color="auto"/>
            <w:left w:val="none" w:sz="0" w:space="0" w:color="auto"/>
            <w:bottom w:val="none" w:sz="0" w:space="0" w:color="auto"/>
            <w:right w:val="none" w:sz="0" w:space="0" w:color="auto"/>
          </w:divBdr>
        </w:div>
        <w:div w:id="593635641">
          <w:marLeft w:val="547"/>
          <w:marRight w:val="0"/>
          <w:marTop w:val="0"/>
          <w:marBottom w:val="0"/>
          <w:divBdr>
            <w:top w:val="none" w:sz="0" w:space="0" w:color="auto"/>
            <w:left w:val="none" w:sz="0" w:space="0" w:color="auto"/>
            <w:bottom w:val="none" w:sz="0" w:space="0" w:color="auto"/>
            <w:right w:val="none" w:sz="0" w:space="0" w:color="auto"/>
          </w:divBdr>
        </w:div>
        <w:div w:id="478229905">
          <w:marLeft w:val="547"/>
          <w:marRight w:val="0"/>
          <w:marTop w:val="0"/>
          <w:marBottom w:val="0"/>
          <w:divBdr>
            <w:top w:val="none" w:sz="0" w:space="0" w:color="auto"/>
            <w:left w:val="none" w:sz="0" w:space="0" w:color="auto"/>
            <w:bottom w:val="none" w:sz="0" w:space="0" w:color="auto"/>
            <w:right w:val="none" w:sz="0" w:space="0" w:color="auto"/>
          </w:divBdr>
        </w:div>
      </w:divsChild>
    </w:div>
    <w:div w:id="548419896">
      <w:bodyDiv w:val="1"/>
      <w:marLeft w:val="0"/>
      <w:marRight w:val="0"/>
      <w:marTop w:val="0"/>
      <w:marBottom w:val="0"/>
      <w:divBdr>
        <w:top w:val="none" w:sz="0" w:space="0" w:color="auto"/>
        <w:left w:val="none" w:sz="0" w:space="0" w:color="auto"/>
        <w:bottom w:val="none" w:sz="0" w:space="0" w:color="auto"/>
        <w:right w:val="none" w:sz="0" w:space="0" w:color="auto"/>
      </w:divBdr>
      <w:divsChild>
        <w:div w:id="199363690">
          <w:marLeft w:val="547"/>
          <w:marRight w:val="0"/>
          <w:marTop w:val="0"/>
          <w:marBottom w:val="0"/>
          <w:divBdr>
            <w:top w:val="none" w:sz="0" w:space="0" w:color="auto"/>
            <w:left w:val="none" w:sz="0" w:space="0" w:color="auto"/>
            <w:bottom w:val="none" w:sz="0" w:space="0" w:color="auto"/>
            <w:right w:val="none" w:sz="0" w:space="0" w:color="auto"/>
          </w:divBdr>
        </w:div>
        <w:div w:id="1721444066">
          <w:marLeft w:val="547"/>
          <w:marRight w:val="0"/>
          <w:marTop w:val="0"/>
          <w:marBottom w:val="0"/>
          <w:divBdr>
            <w:top w:val="none" w:sz="0" w:space="0" w:color="auto"/>
            <w:left w:val="none" w:sz="0" w:space="0" w:color="auto"/>
            <w:bottom w:val="none" w:sz="0" w:space="0" w:color="auto"/>
            <w:right w:val="none" w:sz="0" w:space="0" w:color="auto"/>
          </w:divBdr>
        </w:div>
        <w:div w:id="1748532546">
          <w:marLeft w:val="547"/>
          <w:marRight w:val="0"/>
          <w:marTop w:val="0"/>
          <w:marBottom w:val="0"/>
          <w:divBdr>
            <w:top w:val="none" w:sz="0" w:space="0" w:color="auto"/>
            <w:left w:val="none" w:sz="0" w:space="0" w:color="auto"/>
            <w:bottom w:val="none" w:sz="0" w:space="0" w:color="auto"/>
            <w:right w:val="none" w:sz="0" w:space="0" w:color="auto"/>
          </w:divBdr>
        </w:div>
        <w:div w:id="1367101942">
          <w:marLeft w:val="547"/>
          <w:marRight w:val="0"/>
          <w:marTop w:val="0"/>
          <w:marBottom w:val="0"/>
          <w:divBdr>
            <w:top w:val="none" w:sz="0" w:space="0" w:color="auto"/>
            <w:left w:val="none" w:sz="0" w:space="0" w:color="auto"/>
            <w:bottom w:val="none" w:sz="0" w:space="0" w:color="auto"/>
            <w:right w:val="none" w:sz="0" w:space="0" w:color="auto"/>
          </w:divBdr>
        </w:div>
        <w:div w:id="1921600732">
          <w:marLeft w:val="547"/>
          <w:marRight w:val="0"/>
          <w:marTop w:val="0"/>
          <w:marBottom w:val="0"/>
          <w:divBdr>
            <w:top w:val="none" w:sz="0" w:space="0" w:color="auto"/>
            <w:left w:val="none" w:sz="0" w:space="0" w:color="auto"/>
            <w:bottom w:val="none" w:sz="0" w:space="0" w:color="auto"/>
            <w:right w:val="none" w:sz="0" w:space="0" w:color="auto"/>
          </w:divBdr>
        </w:div>
        <w:div w:id="1689720344">
          <w:marLeft w:val="547"/>
          <w:marRight w:val="0"/>
          <w:marTop w:val="0"/>
          <w:marBottom w:val="0"/>
          <w:divBdr>
            <w:top w:val="none" w:sz="0" w:space="0" w:color="auto"/>
            <w:left w:val="none" w:sz="0" w:space="0" w:color="auto"/>
            <w:bottom w:val="none" w:sz="0" w:space="0" w:color="auto"/>
            <w:right w:val="none" w:sz="0" w:space="0" w:color="auto"/>
          </w:divBdr>
        </w:div>
        <w:div w:id="163980779">
          <w:marLeft w:val="547"/>
          <w:marRight w:val="0"/>
          <w:marTop w:val="0"/>
          <w:marBottom w:val="0"/>
          <w:divBdr>
            <w:top w:val="none" w:sz="0" w:space="0" w:color="auto"/>
            <w:left w:val="none" w:sz="0" w:space="0" w:color="auto"/>
            <w:bottom w:val="none" w:sz="0" w:space="0" w:color="auto"/>
            <w:right w:val="none" w:sz="0" w:space="0" w:color="auto"/>
          </w:divBdr>
        </w:div>
        <w:div w:id="1195271451">
          <w:marLeft w:val="547"/>
          <w:marRight w:val="0"/>
          <w:marTop w:val="0"/>
          <w:marBottom w:val="0"/>
          <w:divBdr>
            <w:top w:val="none" w:sz="0" w:space="0" w:color="auto"/>
            <w:left w:val="none" w:sz="0" w:space="0" w:color="auto"/>
            <w:bottom w:val="none" w:sz="0" w:space="0" w:color="auto"/>
            <w:right w:val="none" w:sz="0" w:space="0" w:color="auto"/>
          </w:divBdr>
        </w:div>
        <w:div w:id="2030909155">
          <w:marLeft w:val="547"/>
          <w:marRight w:val="0"/>
          <w:marTop w:val="0"/>
          <w:marBottom w:val="0"/>
          <w:divBdr>
            <w:top w:val="none" w:sz="0" w:space="0" w:color="auto"/>
            <w:left w:val="none" w:sz="0" w:space="0" w:color="auto"/>
            <w:bottom w:val="none" w:sz="0" w:space="0" w:color="auto"/>
            <w:right w:val="none" w:sz="0" w:space="0" w:color="auto"/>
          </w:divBdr>
        </w:div>
        <w:div w:id="446435620">
          <w:marLeft w:val="547"/>
          <w:marRight w:val="0"/>
          <w:marTop w:val="0"/>
          <w:marBottom w:val="0"/>
          <w:divBdr>
            <w:top w:val="none" w:sz="0" w:space="0" w:color="auto"/>
            <w:left w:val="none" w:sz="0" w:space="0" w:color="auto"/>
            <w:bottom w:val="none" w:sz="0" w:space="0" w:color="auto"/>
            <w:right w:val="none" w:sz="0" w:space="0" w:color="auto"/>
          </w:divBdr>
        </w:div>
        <w:div w:id="1736858465">
          <w:marLeft w:val="547"/>
          <w:marRight w:val="0"/>
          <w:marTop w:val="0"/>
          <w:marBottom w:val="0"/>
          <w:divBdr>
            <w:top w:val="none" w:sz="0" w:space="0" w:color="auto"/>
            <w:left w:val="none" w:sz="0" w:space="0" w:color="auto"/>
            <w:bottom w:val="none" w:sz="0" w:space="0" w:color="auto"/>
            <w:right w:val="none" w:sz="0" w:space="0" w:color="auto"/>
          </w:divBdr>
        </w:div>
        <w:div w:id="1137531245">
          <w:marLeft w:val="547"/>
          <w:marRight w:val="0"/>
          <w:marTop w:val="0"/>
          <w:marBottom w:val="0"/>
          <w:divBdr>
            <w:top w:val="none" w:sz="0" w:space="0" w:color="auto"/>
            <w:left w:val="none" w:sz="0" w:space="0" w:color="auto"/>
            <w:bottom w:val="none" w:sz="0" w:space="0" w:color="auto"/>
            <w:right w:val="none" w:sz="0" w:space="0" w:color="auto"/>
          </w:divBdr>
        </w:div>
      </w:divsChild>
    </w:div>
    <w:div w:id="562104803">
      <w:bodyDiv w:val="1"/>
      <w:marLeft w:val="0"/>
      <w:marRight w:val="0"/>
      <w:marTop w:val="0"/>
      <w:marBottom w:val="0"/>
      <w:divBdr>
        <w:top w:val="none" w:sz="0" w:space="0" w:color="auto"/>
        <w:left w:val="none" w:sz="0" w:space="0" w:color="auto"/>
        <w:bottom w:val="none" w:sz="0" w:space="0" w:color="auto"/>
        <w:right w:val="none" w:sz="0" w:space="0" w:color="auto"/>
      </w:divBdr>
      <w:divsChild>
        <w:div w:id="793521332">
          <w:marLeft w:val="446"/>
          <w:marRight w:val="0"/>
          <w:marTop w:val="0"/>
          <w:marBottom w:val="0"/>
          <w:divBdr>
            <w:top w:val="none" w:sz="0" w:space="0" w:color="auto"/>
            <w:left w:val="none" w:sz="0" w:space="0" w:color="auto"/>
            <w:bottom w:val="none" w:sz="0" w:space="0" w:color="auto"/>
            <w:right w:val="none" w:sz="0" w:space="0" w:color="auto"/>
          </w:divBdr>
        </w:div>
        <w:div w:id="101265375">
          <w:marLeft w:val="446"/>
          <w:marRight w:val="0"/>
          <w:marTop w:val="0"/>
          <w:marBottom w:val="0"/>
          <w:divBdr>
            <w:top w:val="none" w:sz="0" w:space="0" w:color="auto"/>
            <w:left w:val="none" w:sz="0" w:space="0" w:color="auto"/>
            <w:bottom w:val="none" w:sz="0" w:space="0" w:color="auto"/>
            <w:right w:val="none" w:sz="0" w:space="0" w:color="auto"/>
          </w:divBdr>
        </w:div>
      </w:divsChild>
    </w:div>
    <w:div w:id="591743665">
      <w:bodyDiv w:val="1"/>
      <w:marLeft w:val="0"/>
      <w:marRight w:val="0"/>
      <w:marTop w:val="0"/>
      <w:marBottom w:val="0"/>
      <w:divBdr>
        <w:top w:val="none" w:sz="0" w:space="0" w:color="auto"/>
        <w:left w:val="none" w:sz="0" w:space="0" w:color="auto"/>
        <w:bottom w:val="none" w:sz="0" w:space="0" w:color="auto"/>
        <w:right w:val="none" w:sz="0" w:space="0" w:color="auto"/>
      </w:divBdr>
    </w:div>
    <w:div w:id="600337267">
      <w:bodyDiv w:val="1"/>
      <w:marLeft w:val="0"/>
      <w:marRight w:val="0"/>
      <w:marTop w:val="0"/>
      <w:marBottom w:val="0"/>
      <w:divBdr>
        <w:top w:val="none" w:sz="0" w:space="0" w:color="auto"/>
        <w:left w:val="none" w:sz="0" w:space="0" w:color="auto"/>
        <w:bottom w:val="none" w:sz="0" w:space="0" w:color="auto"/>
        <w:right w:val="none" w:sz="0" w:space="0" w:color="auto"/>
      </w:divBdr>
      <w:divsChild>
        <w:div w:id="1065563267">
          <w:marLeft w:val="446"/>
          <w:marRight w:val="0"/>
          <w:marTop w:val="0"/>
          <w:marBottom w:val="0"/>
          <w:divBdr>
            <w:top w:val="none" w:sz="0" w:space="0" w:color="auto"/>
            <w:left w:val="none" w:sz="0" w:space="0" w:color="auto"/>
            <w:bottom w:val="none" w:sz="0" w:space="0" w:color="auto"/>
            <w:right w:val="none" w:sz="0" w:space="0" w:color="auto"/>
          </w:divBdr>
        </w:div>
      </w:divsChild>
    </w:div>
    <w:div w:id="616907984">
      <w:bodyDiv w:val="1"/>
      <w:marLeft w:val="0"/>
      <w:marRight w:val="0"/>
      <w:marTop w:val="0"/>
      <w:marBottom w:val="0"/>
      <w:divBdr>
        <w:top w:val="none" w:sz="0" w:space="0" w:color="auto"/>
        <w:left w:val="none" w:sz="0" w:space="0" w:color="auto"/>
        <w:bottom w:val="none" w:sz="0" w:space="0" w:color="auto"/>
        <w:right w:val="none" w:sz="0" w:space="0" w:color="auto"/>
      </w:divBdr>
      <w:divsChild>
        <w:div w:id="1557400834">
          <w:marLeft w:val="274"/>
          <w:marRight w:val="0"/>
          <w:marTop w:val="0"/>
          <w:marBottom w:val="0"/>
          <w:divBdr>
            <w:top w:val="none" w:sz="0" w:space="0" w:color="auto"/>
            <w:left w:val="none" w:sz="0" w:space="0" w:color="auto"/>
            <w:bottom w:val="none" w:sz="0" w:space="0" w:color="auto"/>
            <w:right w:val="none" w:sz="0" w:space="0" w:color="auto"/>
          </w:divBdr>
        </w:div>
        <w:div w:id="1754669841">
          <w:marLeft w:val="274"/>
          <w:marRight w:val="0"/>
          <w:marTop w:val="0"/>
          <w:marBottom w:val="0"/>
          <w:divBdr>
            <w:top w:val="none" w:sz="0" w:space="0" w:color="auto"/>
            <w:left w:val="none" w:sz="0" w:space="0" w:color="auto"/>
            <w:bottom w:val="none" w:sz="0" w:space="0" w:color="auto"/>
            <w:right w:val="none" w:sz="0" w:space="0" w:color="auto"/>
          </w:divBdr>
        </w:div>
        <w:div w:id="639458168">
          <w:marLeft w:val="274"/>
          <w:marRight w:val="0"/>
          <w:marTop w:val="0"/>
          <w:marBottom w:val="0"/>
          <w:divBdr>
            <w:top w:val="none" w:sz="0" w:space="0" w:color="auto"/>
            <w:left w:val="none" w:sz="0" w:space="0" w:color="auto"/>
            <w:bottom w:val="none" w:sz="0" w:space="0" w:color="auto"/>
            <w:right w:val="none" w:sz="0" w:space="0" w:color="auto"/>
          </w:divBdr>
        </w:div>
        <w:div w:id="1138493840">
          <w:marLeft w:val="274"/>
          <w:marRight w:val="0"/>
          <w:marTop w:val="0"/>
          <w:marBottom w:val="0"/>
          <w:divBdr>
            <w:top w:val="none" w:sz="0" w:space="0" w:color="auto"/>
            <w:left w:val="none" w:sz="0" w:space="0" w:color="auto"/>
            <w:bottom w:val="none" w:sz="0" w:space="0" w:color="auto"/>
            <w:right w:val="none" w:sz="0" w:space="0" w:color="auto"/>
          </w:divBdr>
        </w:div>
        <w:div w:id="691299860">
          <w:marLeft w:val="274"/>
          <w:marRight w:val="0"/>
          <w:marTop w:val="0"/>
          <w:marBottom w:val="0"/>
          <w:divBdr>
            <w:top w:val="none" w:sz="0" w:space="0" w:color="auto"/>
            <w:left w:val="none" w:sz="0" w:space="0" w:color="auto"/>
            <w:bottom w:val="none" w:sz="0" w:space="0" w:color="auto"/>
            <w:right w:val="none" w:sz="0" w:space="0" w:color="auto"/>
          </w:divBdr>
        </w:div>
        <w:div w:id="836967276">
          <w:marLeft w:val="274"/>
          <w:marRight w:val="0"/>
          <w:marTop w:val="0"/>
          <w:marBottom w:val="0"/>
          <w:divBdr>
            <w:top w:val="none" w:sz="0" w:space="0" w:color="auto"/>
            <w:left w:val="none" w:sz="0" w:space="0" w:color="auto"/>
            <w:bottom w:val="none" w:sz="0" w:space="0" w:color="auto"/>
            <w:right w:val="none" w:sz="0" w:space="0" w:color="auto"/>
          </w:divBdr>
        </w:div>
        <w:div w:id="1094132643">
          <w:marLeft w:val="274"/>
          <w:marRight w:val="0"/>
          <w:marTop w:val="0"/>
          <w:marBottom w:val="0"/>
          <w:divBdr>
            <w:top w:val="none" w:sz="0" w:space="0" w:color="auto"/>
            <w:left w:val="none" w:sz="0" w:space="0" w:color="auto"/>
            <w:bottom w:val="none" w:sz="0" w:space="0" w:color="auto"/>
            <w:right w:val="none" w:sz="0" w:space="0" w:color="auto"/>
          </w:divBdr>
        </w:div>
        <w:div w:id="1724795034">
          <w:marLeft w:val="274"/>
          <w:marRight w:val="0"/>
          <w:marTop w:val="0"/>
          <w:marBottom w:val="0"/>
          <w:divBdr>
            <w:top w:val="none" w:sz="0" w:space="0" w:color="auto"/>
            <w:left w:val="none" w:sz="0" w:space="0" w:color="auto"/>
            <w:bottom w:val="none" w:sz="0" w:space="0" w:color="auto"/>
            <w:right w:val="none" w:sz="0" w:space="0" w:color="auto"/>
          </w:divBdr>
        </w:div>
        <w:div w:id="1680496987">
          <w:marLeft w:val="274"/>
          <w:marRight w:val="0"/>
          <w:marTop w:val="0"/>
          <w:marBottom w:val="0"/>
          <w:divBdr>
            <w:top w:val="none" w:sz="0" w:space="0" w:color="auto"/>
            <w:left w:val="none" w:sz="0" w:space="0" w:color="auto"/>
            <w:bottom w:val="none" w:sz="0" w:space="0" w:color="auto"/>
            <w:right w:val="none" w:sz="0" w:space="0" w:color="auto"/>
          </w:divBdr>
        </w:div>
        <w:div w:id="1359502532">
          <w:marLeft w:val="274"/>
          <w:marRight w:val="0"/>
          <w:marTop w:val="0"/>
          <w:marBottom w:val="0"/>
          <w:divBdr>
            <w:top w:val="none" w:sz="0" w:space="0" w:color="auto"/>
            <w:left w:val="none" w:sz="0" w:space="0" w:color="auto"/>
            <w:bottom w:val="none" w:sz="0" w:space="0" w:color="auto"/>
            <w:right w:val="none" w:sz="0" w:space="0" w:color="auto"/>
          </w:divBdr>
        </w:div>
        <w:div w:id="1946184020">
          <w:marLeft w:val="274"/>
          <w:marRight w:val="0"/>
          <w:marTop w:val="0"/>
          <w:marBottom w:val="0"/>
          <w:divBdr>
            <w:top w:val="none" w:sz="0" w:space="0" w:color="auto"/>
            <w:left w:val="none" w:sz="0" w:space="0" w:color="auto"/>
            <w:bottom w:val="none" w:sz="0" w:space="0" w:color="auto"/>
            <w:right w:val="none" w:sz="0" w:space="0" w:color="auto"/>
          </w:divBdr>
        </w:div>
      </w:divsChild>
    </w:div>
    <w:div w:id="620234733">
      <w:bodyDiv w:val="1"/>
      <w:marLeft w:val="0"/>
      <w:marRight w:val="0"/>
      <w:marTop w:val="0"/>
      <w:marBottom w:val="0"/>
      <w:divBdr>
        <w:top w:val="none" w:sz="0" w:space="0" w:color="auto"/>
        <w:left w:val="none" w:sz="0" w:space="0" w:color="auto"/>
        <w:bottom w:val="none" w:sz="0" w:space="0" w:color="auto"/>
        <w:right w:val="none" w:sz="0" w:space="0" w:color="auto"/>
      </w:divBdr>
      <w:divsChild>
        <w:div w:id="981157320">
          <w:marLeft w:val="446"/>
          <w:marRight w:val="0"/>
          <w:marTop w:val="0"/>
          <w:marBottom w:val="0"/>
          <w:divBdr>
            <w:top w:val="none" w:sz="0" w:space="0" w:color="auto"/>
            <w:left w:val="none" w:sz="0" w:space="0" w:color="auto"/>
            <w:bottom w:val="none" w:sz="0" w:space="0" w:color="auto"/>
            <w:right w:val="none" w:sz="0" w:space="0" w:color="auto"/>
          </w:divBdr>
        </w:div>
        <w:div w:id="36856627">
          <w:marLeft w:val="446"/>
          <w:marRight w:val="0"/>
          <w:marTop w:val="0"/>
          <w:marBottom w:val="0"/>
          <w:divBdr>
            <w:top w:val="none" w:sz="0" w:space="0" w:color="auto"/>
            <w:left w:val="none" w:sz="0" w:space="0" w:color="auto"/>
            <w:bottom w:val="none" w:sz="0" w:space="0" w:color="auto"/>
            <w:right w:val="none" w:sz="0" w:space="0" w:color="auto"/>
          </w:divBdr>
        </w:div>
        <w:div w:id="1286502712">
          <w:marLeft w:val="446"/>
          <w:marRight w:val="0"/>
          <w:marTop w:val="0"/>
          <w:marBottom w:val="0"/>
          <w:divBdr>
            <w:top w:val="none" w:sz="0" w:space="0" w:color="auto"/>
            <w:left w:val="none" w:sz="0" w:space="0" w:color="auto"/>
            <w:bottom w:val="none" w:sz="0" w:space="0" w:color="auto"/>
            <w:right w:val="none" w:sz="0" w:space="0" w:color="auto"/>
          </w:divBdr>
        </w:div>
        <w:div w:id="1095981532">
          <w:marLeft w:val="446"/>
          <w:marRight w:val="0"/>
          <w:marTop w:val="0"/>
          <w:marBottom w:val="0"/>
          <w:divBdr>
            <w:top w:val="none" w:sz="0" w:space="0" w:color="auto"/>
            <w:left w:val="none" w:sz="0" w:space="0" w:color="auto"/>
            <w:bottom w:val="none" w:sz="0" w:space="0" w:color="auto"/>
            <w:right w:val="none" w:sz="0" w:space="0" w:color="auto"/>
          </w:divBdr>
        </w:div>
        <w:div w:id="1804152885">
          <w:marLeft w:val="446"/>
          <w:marRight w:val="0"/>
          <w:marTop w:val="0"/>
          <w:marBottom w:val="0"/>
          <w:divBdr>
            <w:top w:val="none" w:sz="0" w:space="0" w:color="auto"/>
            <w:left w:val="none" w:sz="0" w:space="0" w:color="auto"/>
            <w:bottom w:val="none" w:sz="0" w:space="0" w:color="auto"/>
            <w:right w:val="none" w:sz="0" w:space="0" w:color="auto"/>
          </w:divBdr>
        </w:div>
        <w:div w:id="409741386">
          <w:marLeft w:val="446"/>
          <w:marRight w:val="0"/>
          <w:marTop w:val="0"/>
          <w:marBottom w:val="0"/>
          <w:divBdr>
            <w:top w:val="none" w:sz="0" w:space="0" w:color="auto"/>
            <w:left w:val="none" w:sz="0" w:space="0" w:color="auto"/>
            <w:bottom w:val="none" w:sz="0" w:space="0" w:color="auto"/>
            <w:right w:val="none" w:sz="0" w:space="0" w:color="auto"/>
          </w:divBdr>
        </w:div>
        <w:div w:id="69082761">
          <w:marLeft w:val="446"/>
          <w:marRight w:val="0"/>
          <w:marTop w:val="0"/>
          <w:marBottom w:val="0"/>
          <w:divBdr>
            <w:top w:val="none" w:sz="0" w:space="0" w:color="auto"/>
            <w:left w:val="none" w:sz="0" w:space="0" w:color="auto"/>
            <w:bottom w:val="none" w:sz="0" w:space="0" w:color="auto"/>
            <w:right w:val="none" w:sz="0" w:space="0" w:color="auto"/>
          </w:divBdr>
        </w:div>
        <w:div w:id="1214274691">
          <w:marLeft w:val="446"/>
          <w:marRight w:val="0"/>
          <w:marTop w:val="0"/>
          <w:marBottom w:val="0"/>
          <w:divBdr>
            <w:top w:val="none" w:sz="0" w:space="0" w:color="auto"/>
            <w:left w:val="none" w:sz="0" w:space="0" w:color="auto"/>
            <w:bottom w:val="none" w:sz="0" w:space="0" w:color="auto"/>
            <w:right w:val="none" w:sz="0" w:space="0" w:color="auto"/>
          </w:divBdr>
        </w:div>
      </w:divsChild>
    </w:div>
    <w:div w:id="620649566">
      <w:bodyDiv w:val="1"/>
      <w:marLeft w:val="0"/>
      <w:marRight w:val="0"/>
      <w:marTop w:val="0"/>
      <w:marBottom w:val="0"/>
      <w:divBdr>
        <w:top w:val="none" w:sz="0" w:space="0" w:color="auto"/>
        <w:left w:val="none" w:sz="0" w:space="0" w:color="auto"/>
        <w:bottom w:val="none" w:sz="0" w:space="0" w:color="auto"/>
        <w:right w:val="none" w:sz="0" w:space="0" w:color="auto"/>
      </w:divBdr>
    </w:div>
    <w:div w:id="679702565">
      <w:bodyDiv w:val="1"/>
      <w:marLeft w:val="0"/>
      <w:marRight w:val="0"/>
      <w:marTop w:val="0"/>
      <w:marBottom w:val="0"/>
      <w:divBdr>
        <w:top w:val="none" w:sz="0" w:space="0" w:color="auto"/>
        <w:left w:val="none" w:sz="0" w:space="0" w:color="auto"/>
        <w:bottom w:val="none" w:sz="0" w:space="0" w:color="auto"/>
        <w:right w:val="none" w:sz="0" w:space="0" w:color="auto"/>
      </w:divBdr>
      <w:divsChild>
        <w:div w:id="2080204774">
          <w:marLeft w:val="446"/>
          <w:marRight w:val="0"/>
          <w:marTop w:val="0"/>
          <w:marBottom w:val="0"/>
          <w:divBdr>
            <w:top w:val="none" w:sz="0" w:space="0" w:color="auto"/>
            <w:left w:val="none" w:sz="0" w:space="0" w:color="auto"/>
            <w:bottom w:val="none" w:sz="0" w:space="0" w:color="auto"/>
            <w:right w:val="none" w:sz="0" w:space="0" w:color="auto"/>
          </w:divBdr>
        </w:div>
        <w:div w:id="187372210">
          <w:marLeft w:val="446"/>
          <w:marRight w:val="0"/>
          <w:marTop w:val="0"/>
          <w:marBottom w:val="0"/>
          <w:divBdr>
            <w:top w:val="none" w:sz="0" w:space="0" w:color="auto"/>
            <w:left w:val="none" w:sz="0" w:space="0" w:color="auto"/>
            <w:bottom w:val="none" w:sz="0" w:space="0" w:color="auto"/>
            <w:right w:val="none" w:sz="0" w:space="0" w:color="auto"/>
          </w:divBdr>
        </w:div>
        <w:div w:id="949705737">
          <w:marLeft w:val="446"/>
          <w:marRight w:val="0"/>
          <w:marTop w:val="0"/>
          <w:marBottom w:val="0"/>
          <w:divBdr>
            <w:top w:val="none" w:sz="0" w:space="0" w:color="auto"/>
            <w:left w:val="none" w:sz="0" w:space="0" w:color="auto"/>
            <w:bottom w:val="none" w:sz="0" w:space="0" w:color="auto"/>
            <w:right w:val="none" w:sz="0" w:space="0" w:color="auto"/>
          </w:divBdr>
        </w:div>
        <w:div w:id="1019772562">
          <w:marLeft w:val="446"/>
          <w:marRight w:val="0"/>
          <w:marTop w:val="0"/>
          <w:marBottom w:val="0"/>
          <w:divBdr>
            <w:top w:val="none" w:sz="0" w:space="0" w:color="auto"/>
            <w:left w:val="none" w:sz="0" w:space="0" w:color="auto"/>
            <w:bottom w:val="none" w:sz="0" w:space="0" w:color="auto"/>
            <w:right w:val="none" w:sz="0" w:space="0" w:color="auto"/>
          </w:divBdr>
        </w:div>
        <w:div w:id="904921126">
          <w:marLeft w:val="446"/>
          <w:marRight w:val="0"/>
          <w:marTop w:val="0"/>
          <w:marBottom w:val="0"/>
          <w:divBdr>
            <w:top w:val="none" w:sz="0" w:space="0" w:color="auto"/>
            <w:left w:val="none" w:sz="0" w:space="0" w:color="auto"/>
            <w:bottom w:val="none" w:sz="0" w:space="0" w:color="auto"/>
            <w:right w:val="none" w:sz="0" w:space="0" w:color="auto"/>
          </w:divBdr>
        </w:div>
        <w:div w:id="1836915913">
          <w:marLeft w:val="446"/>
          <w:marRight w:val="0"/>
          <w:marTop w:val="0"/>
          <w:marBottom w:val="0"/>
          <w:divBdr>
            <w:top w:val="none" w:sz="0" w:space="0" w:color="auto"/>
            <w:left w:val="none" w:sz="0" w:space="0" w:color="auto"/>
            <w:bottom w:val="none" w:sz="0" w:space="0" w:color="auto"/>
            <w:right w:val="none" w:sz="0" w:space="0" w:color="auto"/>
          </w:divBdr>
        </w:div>
        <w:div w:id="643579670">
          <w:marLeft w:val="446"/>
          <w:marRight w:val="0"/>
          <w:marTop w:val="0"/>
          <w:marBottom w:val="0"/>
          <w:divBdr>
            <w:top w:val="none" w:sz="0" w:space="0" w:color="auto"/>
            <w:left w:val="none" w:sz="0" w:space="0" w:color="auto"/>
            <w:bottom w:val="none" w:sz="0" w:space="0" w:color="auto"/>
            <w:right w:val="none" w:sz="0" w:space="0" w:color="auto"/>
          </w:divBdr>
        </w:div>
        <w:div w:id="185992933">
          <w:marLeft w:val="446"/>
          <w:marRight w:val="0"/>
          <w:marTop w:val="0"/>
          <w:marBottom w:val="0"/>
          <w:divBdr>
            <w:top w:val="none" w:sz="0" w:space="0" w:color="auto"/>
            <w:left w:val="none" w:sz="0" w:space="0" w:color="auto"/>
            <w:bottom w:val="none" w:sz="0" w:space="0" w:color="auto"/>
            <w:right w:val="none" w:sz="0" w:space="0" w:color="auto"/>
          </w:divBdr>
        </w:div>
        <w:div w:id="1457482864">
          <w:marLeft w:val="446"/>
          <w:marRight w:val="0"/>
          <w:marTop w:val="0"/>
          <w:marBottom w:val="0"/>
          <w:divBdr>
            <w:top w:val="none" w:sz="0" w:space="0" w:color="auto"/>
            <w:left w:val="none" w:sz="0" w:space="0" w:color="auto"/>
            <w:bottom w:val="none" w:sz="0" w:space="0" w:color="auto"/>
            <w:right w:val="none" w:sz="0" w:space="0" w:color="auto"/>
          </w:divBdr>
        </w:div>
        <w:div w:id="1903906735">
          <w:marLeft w:val="446"/>
          <w:marRight w:val="0"/>
          <w:marTop w:val="0"/>
          <w:marBottom w:val="0"/>
          <w:divBdr>
            <w:top w:val="none" w:sz="0" w:space="0" w:color="auto"/>
            <w:left w:val="none" w:sz="0" w:space="0" w:color="auto"/>
            <w:bottom w:val="none" w:sz="0" w:space="0" w:color="auto"/>
            <w:right w:val="none" w:sz="0" w:space="0" w:color="auto"/>
          </w:divBdr>
        </w:div>
        <w:div w:id="681013324">
          <w:marLeft w:val="446"/>
          <w:marRight w:val="0"/>
          <w:marTop w:val="0"/>
          <w:marBottom w:val="0"/>
          <w:divBdr>
            <w:top w:val="none" w:sz="0" w:space="0" w:color="auto"/>
            <w:left w:val="none" w:sz="0" w:space="0" w:color="auto"/>
            <w:bottom w:val="none" w:sz="0" w:space="0" w:color="auto"/>
            <w:right w:val="none" w:sz="0" w:space="0" w:color="auto"/>
          </w:divBdr>
        </w:div>
        <w:div w:id="557671571">
          <w:marLeft w:val="446"/>
          <w:marRight w:val="0"/>
          <w:marTop w:val="0"/>
          <w:marBottom w:val="0"/>
          <w:divBdr>
            <w:top w:val="none" w:sz="0" w:space="0" w:color="auto"/>
            <w:left w:val="none" w:sz="0" w:space="0" w:color="auto"/>
            <w:bottom w:val="none" w:sz="0" w:space="0" w:color="auto"/>
            <w:right w:val="none" w:sz="0" w:space="0" w:color="auto"/>
          </w:divBdr>
        </w:div>
        <w:div w:id="391079402">
          <w:marLeft w:val="446"/>
          <w:marRight w:val="0"/>
          <w:marTop w:val="0"/>
          <w:marBottom w:val="0"/>
          <w:divBdr>
            <w:top w:val="none" w:sz="0" w:space="0" w:color="auto"/>
            <w:left w:val="none" w:sz="0" w:space="0" w:color="auto"/>
            <w:bottom w:val="none" w:sz="0" w:space="0" w:color="auto"/>
            <w:right w:val="none" w:sz="0" w:space="0" w:color="auto"/>
          </w:divBdr>
        </w:div>
        <w:div w:id="1679456643">
          <w:marLeft w:val="446"/>
          <w:marRight w:val="0"/>
          <w:marTop w:val="0"/>
          <w:marBottom w:val="0"/>
          <w:divBdr>
            <w:top w:val="none" w:sz="0" w:space="0" w:color="auto"/>
            <w:left w:val="none" w:sz="0" w:space="0" w:color="auto"/>
            <w:bottom w:val="none" w:sz="0" w:space="0" w:color="auto"/>
            <w:right w:val="none" w:sz="0" w:space="0" w:color="auto"/>
          </w:divBdr>
        </w:div>
        <w:div w:id="338238103">
          <w:marLeft w:val="446"/>
          <w:marRight w:val="0"/>
          <w:marTop w:val="0"/>
          <w:marBottom w:val="0"/>
          <w:divBdr>
            <w:top w:val="none" w:sz="0" w:space="0" w:color="auto"/>
            <w:left w:val="none" w:sz="0" w:space="0" w:color="auto"/>
            <w:bottom w:val="none" w:sz="0" w:space="0" w:color="auto"/>
            <w:right w:val="none" w:sz="0" w:space="0" w:color="auto"/>
          </w:divBdr>
        </w:div>
        <w:div w:id="1573929577">
          <w:marLeft w:val="446"/>
          <w:marRight w:val="0"/>
          <w:marTop w:val="0"/>
          <w:marBottom w:val="0"/>
          <w:divBdr>
            <w:top w:val="none" w:sz="0" w:space="0" w:color="auto"/>
            <w:left w:val="none" w:sz="0" w:space="0" w:color="auto"/>
            <w:bottom w:val="none" w:sz="0" w:space="0" w:color="auto"/>
            <w:right w:val="none" w:sz="0" w:space="0" w:color="auto"/>
          </w:divBdr>
        </w:div>
        <w:div w:id="486484772">
          <w:marLeft w:val="446"/>
          <w:marRight w:val="0"/>
          <w:marTop w:val="0"/>
          <w:marBottom w:val="0"/>
          <w:divBdr>
            <w:top w:val="none" w:sz="0" w:space="0" w:color="auto"/>
            <w:left w:val="none" w:sz="0" w:space="0" w:color="auto"/>
            <w:bottom w:val="none" w:sz="0" w:space="0" w:color="auto"/>
            <w:right w:val="none" w:sz="0" w:space="0" w:color="auto"/>
          </w:divBdr>
        </w:div>
      </w:divsChild>
    </w:div>
    <w:div w:id="682510844">
      <w:bodyDiv w:val="1"/>
      <w:marLeft w:val="0"/>
      <w:marRight w:val="0"/>
      <w:marTop w:val="0"/>
      <w:marBottom w:val="0"/>
      <w:divBdr>
        <w:top w:val="none" w:sz="0" w:space="0" w:color="auto"/>
        <w:left w:val="none" w:sz="0" w:space="0" w:color="auto"/>
        <w:bottom w:val="none" w:sz="0" w:space="0" w:color="auto"/>
        <w:right w:val="none" w:sz="0" w:space="0" w:color="auto"/>
      </w:divBdr>
    </w:div>
    <w:div w:id="698702267">
      <w:bodyDiv w:val="1"/>
      <w:marLeft w:val="0"/>
      <w:marRight w:val="0"/>
      <w:marTop w:val="0"/>
      <w:marBottom w:val="0"/>
      <w:divBdr>
        <w:top w:val="none" w:sz="0" w:space="0" w:color="auto"/>
        <w:left w:val="none" w:sz="0" w:space="0" w:color="auto"/>
        <w:bottom w:val="none" w:sz="0" w:space="0" w:color="auto"/>
        <w:right w:val="none" w:sz="0" w:space="0" w:color="auto"/>
      </w:divBdr>
      <w:divsChild>
        <w:div w:id="1043481220">
          <w:marLeft w:val="547"/>
          <w:marRight w:val="0"/>
          <w:marTop w:val="0"/>
          <w:marBottom w:val="0"/>
          <w:divBdr>
            <w:top w:val="none" w:sz="0" w:space="0" w:color="auto"/>
            <w:left w:val="none" w:sz="0" w:space="0" w:color="auto"/>
            <w:bottom w:val="none" w:sz="0" w:space="0" w:color="auto"/>
            <w:right w:val="none" w:sz="0" w:space="0" w:color="auto"/>
          </w:divBdr>
        </w:div>
        <w:div w:id="1857502984">
          <w:marLeft w:val="547"/>
          <w:marRight w:val="0"/>
          <w:marTop w:val="0"/>
          <w:marBottom w:val="0"/>
          <w:divBdr>
            <w:top w:val="none" w:sz="0" w:space="0" w:color="auto"/>
            <w:left w:val="none" w:sz="0" w:space="0" w:color="auto"/>
            <w:bottom w:val="none" w:sz="0" w:space="0" w:color="auto"/>
            <w:right w:val="none" w:sz="0" w:space="0" w:color="auto"/>
          </w:divBdr>
        </w:div>
      </w:divsChild>
    </w:div>
    <w:div w:id="700016649">
      <w:bodyDiv w:val="1"/>
      <w:marLeft w:val="0"/>
      <w:marRight w:val="0"/>
      <w:marTop w:val="0"/>
      <w:marBottom w:val="0"/>
      <w:divBdr>
        <w:top w:val="none" w:sz="0" w:space="0" w:color="auto"/>
        <w:left w:val="none" w:sz="0" w:space="0" w:color="auto"/>
        <w:bottom w:val="none" w:sz="0" w:space="0" w:color="auto"/>
        <w:right w:val="none" w:sz="0" w:space="0" w:color="auto"/>
      </w:divBdr>
      <w:divsChild>
        <w:div w:id="1343436520">
          <w:marLeft w:val="274"/>
          <w:marRight w:val="0"/>
          <w:marTop w:val="0"/>
          <w:marBottom w:val="0"/>
          <w:divBdr>
            <w:top w:val="none" w:sz="0" w:space="0" w:color="auto"/>
            <w:left w:val="none" w:sz="0" w:space="0" w:color="auto"/>
            <w:bottom w:val="none" w:sz="0" w:space="0" w:color="auto"/>
            <w:right w:val="none" w:sz="0" w:space="0" w:color="auto"/>
          </w:divBdr>
        </w:div>
        <w:div w:id="1687290565">
          <w:marLeft w:val="274"/>
          <w:marRight w:val="0"/>
          <w:marTop w:val="0"/>
          <w:marBottom w:val="0"/>
          <w:divBdr>
            <w:top w:val="none" w:sz="0" w:space="0" w:color="auto"/>
            <w:left w:val="none" w:sz="0" w:space="0" w:color="auto"/>
            <w:bottom w:val="none" w:sz="0" w:space="0" w:color="auto"/>
            <w:right w:val="none" w:sz="0" w:space="0" w:color="auto"/>
          </w:divBdr>
        </w:div>
        <w:div w:id="563755678">
          <w:marLeft w:val="1080"/>
          <w:marRight w:val="0"/>
          <w:marTop w:val="0"/>
          <w:marBottom w:val="0"/>
          <w:divBdr>
            <w:top w:val="none" w:sz="0" w:space="0" w:color="auto"/>
            <w:left w:val="none" w:sz="0" w:space="0" w:color="auto"/>
            <w:bottom w:val="none" w:sz="0" w:space="0" w:color="auto"/>
            <w:right w:val="none" w:sz="0" w:space="0" w:color="auto"/>
          </w:divBdr>
        </w:div>
        <w:div w:id="1883907076">
          <w:marLeft w:val="1080"/>
          <w:marRight w:val="0"/>
          <w:marTop w:val="0"/>
          <w:marBottom w:val="0"/>
          <w:divBdr>
            <w:top w:val="none" w:sz="0" w:space="0" w:color="auto"/>
            <w:left w:val="none" w:sz="0" w:space="0" w:color="auto"/>
            <w:bottom w:val="none" w:sz="0" w:space="0" w:color="auto"/>
            <w:right w:val="none" w:sz="0" w:space="0" w:color="auto"/>
          </w:divBdr>
        </w:div>
        <w:div w:id="457065049">
          <w:marLeft w:val="274"/>
          <w:marRight w:val="0"/>
          <w:marTop w:val="0"/>
          <w:marBottom w:val="0"/>
          <w:divBdr>
            <w:top w:val="none" w:sz="0" w:space="0" w:color="auto"/>
            <w:left w:val="none" w:sz="0" w:space="0" w:color="auto"/>
            <w:bottom w:val="none" w:sz="0" w:space="0" w:color="auto"/>
            <w:right w:val="none" w:sz="0" w:space="0" w:color="auto"/>
          </w:divBdr>
        </w:div>
        <w:div w:id="356855163">
          <w:marLeft w:val="547"/>
          <w:marRight w:val="0"/>
          <w:marTop w:val="0"/>
          <w:marBottom w:val="0"/>
          <w:divBdr>
            <w:top w:val="none" w:sz="0" w:space="0" w:color="auto"/>
            <w:left w:val="none" w:sz="0" w:space="0" w:color="auto"/>
            <w:bottom w:val="none" w:sz="0" w:space="0" w:color="auto"/>
            <w:right w:val="none" w:sz="0" w:space="0" w:color="auto"/>
          </w:divBdr>
        </w:div>
        <w:div w:id="187763467">
          <w:marLeft w:val="547"/>
          <w:marRight w:val="0"/>
          <w:marTop w:val="0"/>
          <w:marBottom w:val="0"/>
          <w:divBdr>
            <w:top w:val="none" w:sz="0" w:space="0" w:color="auto"/>
            <w:left w:val="none" w:sz="0" w:space="0" w:color="auto"/>
            <w:bottom w:val="none" w:sz="0" w:space="0" w:color="auto"/>
            <w:right w:val="none" w:sz="0" w:space="0" w:color="auto"/>
          </w:divBdr>
        </w:div>
      </w:divsChild>
    </w:div>
    <w:div w:id="704597768">
      <w:bodyDiv w:val="1"/>
      <w:marLeft w:val="0"/>
      <w:marRight w:val="0"/>
      <w:marTop w:val="0"/>
      <w:marBottom w:val="0"/>
      <w:divBdr>
        <w:top w:val="none" w:sz="0" w:space="0" w:color="auto"/>
        <w:left w:val="none" w:sz="0" w:space="0" w:color="auto"/>
        <w:bottom w:val="none" w:sz="0" w:space="0" w:color="auto"/>
        <w:right w:val="none" w:sz="0" w:space="0" w:color="auto"/>
      </w:divBdr>
    </w:div>
    <w:div w:id="716855702">
      <w:bodyDiv w:val="1"/>
      <w:marLeft w:val="0"/>
      <w:marRight w:val="0"/>
      <w:marTop w:val="0"/>
      <w:marBottom w:val="0"/>
      <w:divBdr>
        <w:top w:val="none" w:sz="0" w:space="0" w:color="auto"/>
        <w:left w:val="none" w:sz="0" w:space="0" w:color="auto"/>
        <w:bottom w:val="none" w:sz="0" w:space="0" w:color="auto"/>
        <w:right w:val="none" w:sz="0" w:space="0" w:color="auto"/>
      </w:divBdr>
    </w:div>
    <w:div w:id="754395768">
      <w:bodyDiv w:val="1"/>
      <w:marLeft w:val="0"/>
      <w:marRight w:val="0"/>
      <w:marTop w:val="0"/>
      <w:marBottom w:val="0"/>
      <w:divBdr>
        <w:top w:val="none" w:sz="0" w:space="0" w:color="auto"/>
        <w:left w:val="none" w:sz="0" w:space="0" w:color="auto"/>
        <w:bottom w:val="none" w:sz="0" w:space="0" w:color="auto"/>
        <w:right w:val="none" w:sz="0" w:space="0" w:color="auto"/>
      </w:divBdr>
      <w:divsChild>
        <w:div w:id="1231043487">
          <w:marLeft w:val="446"/>
          <w:marRight w:val="0"/>
          <w:marTop w:val="0"/>
          <w:marBottom w:val="0"/>
          <w:divBdr>
            <w:top w:val="none" w:sz="0" w:space="0" w:color="auto"/>
            <w:left w:val="none" w:sz="0" w:space="0" w:color="auto"/>
            <w:bottom w:val="none" w:sz="0" w:space="0" w:color="auto"/>
            <w:right w:val="none" w:sz="0" w:space="0" w:color="auto"/>
          </w:divBdr>
        </w:div>
        <w:div w:id="1530218181">
          <w:marLeft w:val="446"/>
          <w:marRight w:val="0"/>
          <w:marTop w:val="0"/>
          <w:marBottom w:val="0"/>
          <w:divBdr>
            <w:top w:val="none" w:sz="0" w:space="0" w:color="auto"/>
            <w:left w:val="none" w:sz="0" w:space="0" w:color="auto"/>
            <w:bottom w:val="none" w:sz="0" w:space="0" w:color="auto"/>
            <w:right w:val="none" w:sz="0" w:space="0" w:color="auto"/>
          </w:divBdr>
        </w:div>
        <w:div w:id="205145620">
          <w:marLeft w:val="446"/>
          <w:marRight w:val="0"/>
          <w:marTop w:val="0"/>
          <w:marBottom w:val="0"/>
          <w:divBdr>
            <w:top w:val="none" w:sz="0" w:space="0" w:color="auto"/>
            <w:left w:val="none" w:sz="0" w:space="0" w:color="auto"/>
            <w:bottom w:val="none" w:sz="0" w:space="0" w:color="auto"/>
            <w:right w:val="none" w:sz="0" w:space="0" w:color="auto"/>
          </w:divBdr>
        </w:div>
        <w:div w:id="471480105">
          <w:marLeft w:val="446"/>
          <w:marRight w:val="0"/>
          <w:marTop w:val="0"/>
          <w:marBottom w:val="0"/>
          <w:divBdr>
            <w:top w:val="none" w:sz="0" w:space="0" w:color="auto"/>
            <w:left w:val="none" w:sz="0" w:space="0" w:color="auto"/>
            <w:bottom w:val="none" w:sz="0" w:space="0" w:color="auto"/>
            <w:right w:val="none" w:sz="0" w:space="0" w:color="auto"/>
          </w:divBdr>
        </w:div>
        <w:div w:id="106241424">
          <w:marLeft w:val="446"/>
          <w:marRight w:val="0"/>
          <w:marTop w:val="0"/>
          <w:marBottom w:val="0"/>
          <w:divBdr>
            <w:top w:val="none" w:sz="0" w:space="0" w:color="auto"/>
            <w:left w:val="none" w:sz="0" w:space="0" w:color="auto"/>
            <w:bottom w:val="none" w:sz="0" w:space="0" w:color="auto"/>
            <w:right w:val="none" w:sz="0" w:space="0" w:color="auto"/>
          </w:divBdr>
        </w:div>
        <w:div w:id="676545735">
          <w:marLeft w:val="1166"/>
          <w:marRight w:val="0"/>
          <w:marTop w:val="0"/>
          <w:marBottom w:val="0"/>
          <w:divBdr>
            <w:top w:val="none" w:sz="0" w:space="0" w:color="auto"/>
            <w:left w:val="none" w:sz="0" w:space="0" w:color="auto"/>
            <w:bottom w:val="none" w:sz="0" w:space="0" w:color="auto"/>
            <w:right w:val="none" w:sz="0" w:space="0" w:color="auto"/>
          </w:divBdr>
        </w:div>
        <w:div w:id="646785612">
          <w:marLeft w:val="1166"/>
          <w:marRight w:val="0"/>
          <w:marTop w:val="0"/>
          <w:marBottom w:val="0"/>
          <w:divBdr>
            <w:top w:val="none" w:sz="0" w:space="0" w:color="auto"/>
            <w:left w:val="none" w:sz="0" w:space="0" w:color="auto"/>
            <w:bottom w:val="none" w:sz="0" w:space="0" w:color="auto"/>
            <w:right w:val="none" w:sz="0" w:space="0" w:color="auto"/>
          </w:divBdr>
        </w:div>
        <w:div w:id="931090064">
          <w:marLeft w:val="1166"/>
          <w:marRight w:val="0"/>
          <w:marTop w:val="0"/>
          <w:marBottom w:val="0"/>
          <w:divBdr>
            <w:top w:val="none" w:sz="0" w:space="0" w:color="auto"/>
            <w:left w:val="none" w:sz="0" w:space="0" w:color="auto"/>
            <w:bottom w:val="none" w:sz="0" w:space="0" w:color="auto"/>
            <w:right w:val="none" w:sz="0" w:space="0" w:color="auto"/>
          </w:divBdr>
        </w:div>
        <w:div w:id="2059238183">
          <w:marLeft w:val="1166"/>
          <w:marRight w:val="0"/>
          <w:marTop w:val="0"/>
          <w:marBottom w:val="0"/>
          <w:divBdr>
            <w:top w:val="none" w:sz="0" w:space="0" w:color="auto"/>
            <w:left w:val="none" w:sz="0" w:space="0" w:color="auto"/>
            <w:bottom w:val="none" w:sz="0" w:space="0" w:color="auto"/>
            <w:right w:val="none" w:sz="0" w:space="0" w:color="auto"/>
          </w:divBdr>
        </w:div>
      </w:divsChild>
    </w:div>
    <w:div w:id="755636436">
      <w:bodyDiv w:val="1"/>
      <w:marLeft w:val="0"/>
      <w:marRight w:val="0"/>
      <w:marTop w:val="0"/>
      <w:marBottom w:val="0"/>
      <w:divBdr>
        <w:top w:val="none" w:sz="0" w:space="0" w:color="auto"/>
        <w:left w:val="none" w:sz="0" w:space="0" w:color="auto"/>
        <w:bottom w:val="none" w:sz="0" w:space="0" w:color="auto"/>
        <w:right w:val="none" w:sz="0" w:space="0" w:color="auto"/>
      </w:divBdr>
    </w:div>
    <w:div w:id="758991478">
      <w:bodyDiv w:val="1"/>
      <w:marLeft w:val="0"/>
      <w:marRight w:val="0"/>
      <w:marTop w:val="0"/>
      <w:marBottom w:val="0"/>
      <w:divBdr>
        <w:top w:val="none" w:sz="0" w:space="0" w:color="auto"/>
        <w:left w:val="none" w:sz="0" w:space="0" w:color="auto"/>
        <w:bottom w:val="none" w:sz="0" w:space="0" w:color="auto"/>
        <w:right w:val="none" w:sz="0" w:space="0" w:color="auto"/>
      </w:divBdr>
    </w:div>
    <w:div w:id="777258289">
      <w:bodyDiv w:val="1"/>
      <w:marLeft w:val="0"/>
      <w:marRight w:val="0"/>
      <w:marTop w:val="0"/>
      <w:marBottom w:val="0"/>
      <w:divBdr>
        <w:top w:val="none" w:sz="0" w:space="0" w:color="auto"/>
        <w:left w:val="none" w:sz="0" w:space="0" w:color="auto"/>
        <w:bottom w:val="none" w:sz="0" w:space="0" w:color="auto"/>
        <w:right w:val="none" w:sz="0" w:space="0" w:color="auto"/>
      </w:divBdr>
      <w:divsChild>
        <w:div w:id="1939755999">
          <w:marLeft w:val="0"/>
          <w:marRight w:val="0"/>
          <w:marTop w:val="0"/>
          <w:marBottom w:val="0"/>
          <w:divBdr>
            <w:top w:val="none" w:sz="0" w:space="0" w:color="auto"/>
            <w:left w:val="none" w:sz="0" w:space="0" w:color="auto"/>
            <w:bottom w:val="none" w:sz="0" w:space="0" w:color="auto"/>
            <w:right w:val="none" w:sz="0" w:space="0" w:color="auto"/>
          </w:divBdr>
        </w:div>
      </w:divsChild>
    </w:div>
    <w:div w:id="813062894">
      <w:bodyDiv w:val="1"/>
      <w:marLeft w:val="0"/>
      <w:marRight w:val="0"/>
      <w:marTop w:val="0"/>
      <w:marBottom w:val="0"/>
      <w:divBdr>
        <w:top w:val="none" w:sz="0" w:space="0" w:color="auto"/>
        <w:left w:val="none" w:sz="0" w:space="0" w:color="auto"/>
        <w:bottom w:val="none" w:sz="0" w:space="0" w:color="auto"/>
        <w:right w:val="none" w:sz="0" w:space="0" w:color="auto"/>
      </w:divBdr>
      <w:divsChild>
        <w:div w:id="137264391">
          <w:marLeft w:val="446"/>
          <w:marRight w:val="0"/>
          <w:marTop w:val="0"/>
          <w:marBottom w:val="0"/>
          <w:divBdr>
            <w:top w:val="none" w:sz="0" w:space="0" w:color="auto"/>
            <w:left w:val="none" w:sz="0" w:space="0" w:color="auto"/>
            <w:bottom w:val="none" w:sz="0" w:space="0" w:color="auto"/>
            <w:right w:val="none" w:sz="0" w:space="0" w:color="auto"/>
          </w:divBdr>
        </w:div>
      </w:divsChild>
    </w:div>
    <w:div w:id="827669057">
      <w:bodyDiv w:val="1"/>
      <w:marLeft w:val="0"/>
      <w:marRight w:val="0"/>
      <w:marTop w:val="0"/>
      <w:marBottom w:val="0"/>
      <w:divBdr>
        <w:top w:val="none" w:sz="0" w:space="0" w:color="auto"/>
        <w:left w:val="none" w:sz="0" w:space="0" w:color="auto"/>
        <w:bottom w:val="none" w:sz="0" w:space="0" w:color="auto"/>
        <w:right w:val="none" w:sz="0" w:space="0" w:color="auto"/>
      </w:divBdr>
    </w:div>
    <w:div w:id="830950753">
      <w:bodyDiv w:val="1"/>
      <w:marLeft w:val="0"/>
      <w:marRight w:val="0"/>
      <w:marTop w:val="0"/>
      <w:marBottom w:val="0"/>
      <w:divBdr>
        <w:top w:val="none" w:sz="0" w:space="0" w:color="auto"/>
        <w:left w:val="none" w:sz="0" w:space="0" w:color="auto"/>
        <w:bottom w:val="none" w:sz="0" w:space="0" w:color="auto"/>
        <w:right w:val="none" w:sz="0" w:space="0" w:color="auto"/>
      </w:divBdr>
    </w:div>
    <w:div w:id="843280309">
      <w:bodyDiv w:val="1"/>
      <w:marLeft w:val="0"/>
      <w:marRight w:val="0"/>
      <w:marTop w:val="0"/>
      <w:marBottom w:val="0"/>
      <w:divBdr>
        <w:top w:val="none" w:sz="0" w:space="0" w:color="auto"/>
        <w:left w:val="none" w:sz="0" w:space="0" w:color="auto"/>
        <w:bottom w:val="none" w:sz="0" w:space="0" w:color="auto"/>
        <w:right w:val="none" w:sz="0" w:space="0" w:color="auto"/>
      </w:divBdr>
    </w:div>
    <w:div w:id="881940732">
      <w:bodyDiv w:val="1"/>
      <w:marLeft w:val="0"/>
      <w:marRight w:val="0"/>
      <w:marTop w:val="0"/>
      <w:marBottom w:val="0"/>
      <w:divBdr>
        <w:top w:val="none" w:sz="0" w:space="0" w:color="auto"/>
        <w:left w:val="none" w:sz="0" w:space="0" w:color="auto"/>
        <w:bottom w:val="none" w:sz="0" w:space="0" w:color="auto"/>
        <w:right w:val="none" w:sz="0" w:space="0" w:color="auto"/>
      </w:divBdr>
    </w:div>
    <w:div w:id="948778338">
      <w:bodyDiv w:val="1"/>
      <w:marLeft w:val="0"/>
      <w:marRight w:val="0"/>
      <w:marTop w:val="0"/>
      <w:marBottom w:val="0"/>
      <w:divBdr>
        <w:top w:val="none" w:sz="0" w:space="0" w:color="auto"/>
        <w:left w:val="none" w:sz="0" w:space="0" w:color="auto"/>
        <w:bottom w:val="none" w:sz="0" w:space="0" w:color="auto"/>
        <w:right w:val="none" w:sz="0" w:space="0" w:color="auto"/>
      </w:divBdr>
    </w:div>
    <w:div w:id="979069418">
      <w:bodyDiv w:val="1"/>
      <w:marLeft w:val="0"/>
      <w:marRight w:val="0"/>
      <w:marTop w:val="0"/>
      <w:marBottom w:val="0"/>
      <w:divBdr>
        <w:top w:val="none" w:sz="0" w:space="0" w:color="auto"/>
        <w:left w:val="none" w:sz="0" w:space="0" w:color="auto"/>
        <w:bottom w:val="none" w:sz="0" w:space="0" w:color="auto"/>
        <w:right w:val="none" w:sz="0" w:space="0" w:color="auto"/>
      </w:divBdr>
    </w:div>
    <w:div w:id="990210396">
      <w:bodyDiv w:val="1"/>
      <w:marLeft w:val="0"/>
      <w:marRight w:val="0"/>
      <w:marTop w:val="0"/>
      <w:marBottom w:val="0"/>
      <w:divBdr>
        <w:top w:val="none" w:sz="0" w:space="0" w:color="auto"/>
        <w:left w:val="none" w:sz="0" w:space="0" w:color="auto"/>
        <w:bottom w:val="none" w:sz="0" w:space="0" w:color="auto"/>
        <w:right w:val="none" w:sz="0" w:space="0" w:color="auto"/>
      </w:divBdr>
      <w:divsChild>
        <w:div w:id="541795732">
          <w:marLeft w:val="0"/>
          <w:marRight w:val="0"/>
          <w:marTop w:val="0"/>
          <w:marBottom w:val="0"/>
          <w:divBdr>
            <w:top w:val="none" w:sz="0" w:space="0" w:color="auto"/>
            <w:left w:val="none" w:sz="0" w:space="0" w:color="auto"/>
            <w:bottom w:val="none" w:sz="0" w:space="0" w:color="auto"/>
            <w:right w:val="none" w:sz="0" w:space="0" w:color="auto"/>
          </w:divBdr>
        </w:div>
      </w:divsChild>
    </w:div>
    <w:div w:id="1005017684">
      <w:bodyDiv w:val="1"/>
      <w:marLeft w:val="0"/>
      <w:marRight w:val="0"/>
      <w:marTop w:val="0"/>
      <w:marBottom w:val="0"/>
      <w:divBdr>
        <w:top w:val="none" w:sz="0" w:space="0" w:color="auto"/>
        <w:left w:val="none" w:sz="0" w:space="0" w:color="auto"/>
        <w:bottom w:val="none" w:sz="0" w:space="0" w:color="auto"/>
        <w:right w:val="none" w:sz="0" w:space="0" w:color="auto"/>
      </w:divBdr>
    </w:div>
    <w:div w:id="1017658023">
      <w:bodyDiv w:val="1"/>
      <w:marLeft w:val="0"/>
      <w:marRight w:val="0"/>
      <w:marTop w:val="0"/>
      <w:marBottom w:val="0"/>
      <w:divBdr>
        <w:top w:val="none" w:sz="0" w:space="0" w:color="auto"/>
        <w:left w:val="none" w:sz="0" w:space="0" w:color="auto"/>
        <w:bottom w:val="none" w:sz="0" w:space="0" w:color="auto"/>
        <w:right w:val="none" w:sz="0" w:space="0" w:color="auto"/>
      </w:divBdr>
      <w:divsChild>
        <w:div w:id="448167157">
          <w:marLeft w:val="547"/>
          <w:marRight w:val="0"/>
          <w:marTop w:val="0"/>
          <w:marBottom w:val="0"/>
          <w:divBdr>
            <w:top w:val="none" w:sz="0" w:space="0" w:color="auto"/>
            <w:left w:val="none" w:sz="0" w:space="0" w:color="auto"/>
            <w:bottom w:val="none" w:sz="0" w:space="0" w:color="auto"/>
            <w:right w:val="none" w:sz="0" w:space="0" w:color="auto"/>
          </w:divBdr>
        </w:div>
        <w:div w:id="1780100337">
          <w:marLeft w:val="547"/>
          <w:marRight w:val="0"/>
          <w:marTop w:val="0"/>
          <w:marBottom w:val="0"/>
          <w:divBdr>
            <w:top w:val="none" w:sz="0" w:space="0" w:color="auto"/>
            <w:left w:val="none" w:sz="0" w:space="0" w:color="auto"/>
            <w:bottom w:val="none" w:sz="0" w:space="0" w:color="auto"/>
            <w:right w:val="none" w:sz="0" w:space="0" w:color="auto"/>
          </w:divBdr>
        </w:div>
        <w:div w:id="719521673">
          <w:marLeft w:val="547"/>
          <w:marRight w:val="0"/>
          <w:marTop w:val="0"/>
          <w:marBottom w:val="0"/>
          <w:divBdr>
            <w:top w:val="none" w:sz="0" w:space="0" w:color="auto"/>
            <w:left w:val="none" w:sz="0" w:space="0" w:color="auto"/>
            <w:bottom w:val="none" w:sz="0" w:space="0" w:color="auto"/>
            <w:right w:val="none" w:sz="0" w:space="0" w:color="auto"/>
          </w:divBdr>
        </w:div>
        <w:div w:id="2043937382">
          <w:marLeft w:val="547"/>
          <w:marRight w:val="0"/>
          <w:marTop w:val="0"/>
          <w:marBottom w:val="0"/>
          <w:divBdr>
            <w:top w:val="none" w:sz="0" w:space="0" w:color="auto"/>
            <w:left w:val="none" w:sz="0" w:space="0" w:color="auto"/>
            <w:bottom w:val="none" w:sz="0" w:space="0" w:color="auto"/>
            <w:right w:val="none" w:sz="0" w:space="0" w:color="auto"/>
          </w:divBdr>
        </w:div>
        <w:div w:id="517306352">
          <w:marLeft w:val="547"/>
          <w:marRight w:val="0"/>
          <w:marTop w:val="0"/>
          <w:marBottom w:val="0"/>
          <w:divBdr>
            <w:top w:val="none" w:sz="0" w:space="0" w:color="auto"/>
            <w:left w:val="none" w:sz="0" w:space="0" w:color="auto"/>
            <w:bottom w:val="none" w:sz="0" w:space="0" w:color="auto"/>
            <w:right w:val="none" w:sz="0" w:space="0" w:color="auto"/>
          </w:divBdr>
        </w:div>
        <w:div w:id="518783840">
          <w:marLeft w:val="547"/>
          <w:marRight w:val="0"/>
          <w:marTop w:val="0"/>
          <w:marBottom w:val="0"/>
          <w:divBdr>
            <w:top w:val="none" w:sz="0" w:space="0" w:color="auto"/>
            <w:left w:val="none" w:sz="0" w:space="0" w:color="auto"/>
            <w:bottom w:val="none" w:sz="0" w:space="0" w:color="auto"/>
            <w:right w:val="none" w:sz="0" w:space="0" w:color="auto"/>
          </w:divBdr>
        </w:div>
        <w:div w:id="2097093826">
          <w:marLeft w:val="547"/>
          <w:marRight w:val="0"/>
          <w:marTop w:val="0"/>
          <w:marBottom w:val="0"/>
          <w:divBdr>
            <w:top w:val="none" w:sz="0" w:space="0" w:color="auto"/>
            <w:left w:val="none" w:sz="0" w:space="0" w:color="auto"/>
            <w:bottom w:val="none" w:sz="0" w:space="0" w:color="auto"/>
            <w:right w:val="none" w:sz="0" w:space="0" w:color="auto"/>
          </w:divBdr>
        </w:div>
        <w:div w:id="235821109">
          <w:marLeft w:val="547"/>
          <w:marRight w:val="0"/>
          <w:marTop w:val="0"/>
          <w:marBottom w:val="0"/>
          <w:divBdr>
            <w:top w:val="none" w:sz="0" w:space="0" w:color="auto"/>
            <w:left w:val="none" w:sz="0" w:space="0" w:color="auto"/>
            <w:bottom w:val="none" w:sz="0" w:space="0" w:color="auto"/>
            <w:right w:val="none" w:sz="0" w:space="0" w:color="auto"/>
          </w:divBdr>
        </w:div>
        <w:div w:id="476462086">
          <w:marLeft w:val="547"/>
          <w:marRight w:val="0"/>
          <w:marTop w:val="0"/>
          <w:marBottom w:val="0"/>
          <w:divBdr>
            <w:top w:val="none" w:sz="0" w:space="0" w:color="auto"/>
            <w:left w:val="none" w:sz="0" w:space="0" w:color="auto"/>
            <w:bottom w:val="none" w:sz="0" w:space="0" w:color="auto"/>
            <w:right w:val="none" w:sz="0" w:space="0" w:color="auto"/>
          </w:divBdr>
        </w:div>
        <w:div w:id="1443381224">
          <w:marLeft w:val="547"/>
          <w:marRight w:val="0"/>
          <w:marTop w:val="0"/>
          <w:marBottom w:val="0"/>
          <w:divBdr>
            <w:top w:val="none" w:sz="0" w:space="0" w:color="auto"/>
            <w:left w:val="none" w:sz="0" w:space="0" w:color="auto"/>
            <w:bottom w:val="none" w:sz="0" w:space="0" w:color="auto"/>
            <w:right w:val="none" w:sz="0" w:space="0" w:color="auto"/>
          </w:divBdr>
        </w:div>
        <w:div w:id="1469320679">
          <w:marLeft w:val="547"/>
          <w:marRight w:val="0"/>
          <w:marTop w:val="0"/>
          <w:marBottom w:val="0"/>
          <w:divBdr>
            <w:top w:val="none" w:sz="0" w:space="0" w:color="auto"/>
            <w:left w:val="none" w:sz="0" w:space="0" w:color="auto"/>
            <w:bottom w:val="none" w:sz="0" w:space="0" w:color="auto"/>
            <w:right w:val="none" w:sz="0" w:space="0" w:color="auto"/>
          </w:divBdr>
        </w:div>
        <w:div w:id="5249628">
          <w:marLeft w:val="547"/>
          <w:marRight w:val="0"/>
          <w:marTop w:val="0"/>
          <w:marBottom w:val="0"/>
          <w:divBdr>
            <w:top w:val="none" w:sz="0" w:space="0" w:color="auto"/>
            <w:left w:val="none" w:sz="0" w:space="0" w:color="auto"/>
            <w:bottom w:val="none" w:sz="0" w:space="0" w:color="auto"/>
            <w:right w:val="none" w:sz="0" w:space="0" w:color="auto"/>
          </w:divBdr>
        </w:div>
      </w:divsChild>
    </w:div>
    <w:div w:id="1022627081">
      <w:bodyDiv w:val="1"/>
      <w:marLeft w:val="0"/>
      <w:marRight w:val="0"/>
      <w:marTop w:val="0"/>
      <w:marBottom w:val="0"/>
      <w:divBdr>
        <w:top w:val="none" w:sz="0" w:space="0" w:color="auto"/>
        <w:left w:val="none" w:sz="0" w:space="0" w:color="auto"/>
        <w:bottom w:val="none" w:sz="0" w:space="0" w:color="auto"/>
        <w:right w:val="none" w:sz="0" w:space="0" w:color="auto"/>
      </w:divBdr>
    </w:div>
    <w:div w:id="1080106259">
      <w:bodyDiv w:val="1"/>
      <w:marLeft w:val="0"/>
      <w:marRight w:val="0"/>
      <w:marTop w:val="0"/>
      <w:marBottom w:val="0"/>
      <w:divBdr>
        <w:top w:val="none" w:sz="0" w:space="0" w:color="auto"/>
        <w:left w:val="none" w:sz="0" w:space="0" w:color="auto"/>
        <w:bottom w:val="none" w:sz="0" w:space="0" w:color="auto"/>
        <w:right w:val="none" w:sz="0" w:space="0" w:color="auto"/>
      </w:divBdr>
    </w:div>
    <w:div w:id="1115252472">
      <w:bodyDiv w:val="1"/>
      <w:marLeft w:val="0"/>
      <w:marRight w:val="0"/>
      <w:marTop w:val="0"/>
      <w:marBottom w:val="0"/>
      <w:divBdr>
        <w:top w:val="none" w:sz="0" w:space="0" w:color="auto"/>
        <w:left w:val="none" w:sz="0" w:space="0" w:color="auto"/>
        <w:bottom w:val="none" w:sz="0" w:space="0" w:color="auto"/>
        <w:right w:val="none" w:sz="0" w:space="0" w:color="auto"/>
      </w:divBdr>
    </w:div>
    <w:div w:id="1116414832">
      <w:bodyDiv w:val="1"/>
      <w:marLeft w:val="0"/>
      <w:marRight w:val="0"/>
      <w:marTop w:val="0"/>
      <w:marBottom w:val="0"/>
      <w:divBdr>
        <w:top w:val="none" w:sz="0" w:space="0" w:color="auto"/>
        <w:left w:val="none" w:sz="0" w:space="0" w:color="auto"/>
        <w:bottom w:val="none" w:sz="0" w:space="0" w:color="auto"/>
        <w:right w:val="none" w:sz="0" w:space="0" w:color="auto"/>
      </w:divBdr>
    </w:div>
    <w:div w:id="1128090003">
      <w:bodyDiv w:val="1"/>
      <w:marLeft w:val="0"/>
      <w:marRight w:val="0"/>
      <w:marTop w:val="0"/>
      <w:marBottom w:val="0"/>
      <w:divBdr>
        <w:top w:val="none" w:sz="0" w:space="0" w:color="auto"/>
        <w:left w:val="none" w:sz="0" w:space="0" w:color="auto"/>
        <w:bottom w:val="none" w:sz="0" w:space="0" w:color="auto"/>
        <w:right w:val="none" w:sz="0" w:space="0" w:color="auto"/>
      </w:divBdr>
    </w:div>
    <w:div w:id="1172918653">
      <w:bodyDiv w:val="1"/>
      <w:marLeft w:val="0"/>
      <w:marRight w:val="0"/>
      <w:marTop w:val="0"/>
      <w:marBottom w:val="0"/>
      <w:divBdr>
        <w:top w:val="none" w:sz="0" w:space="0" w:color="auto"/>
        <w:left w:val="none" w:sz="0" w:space="0" w:color="auto"/>
        <w:bottom w:val="none" w:sz="0" w:space="0" w:color="auto"/>
        <w:right w:val="none" w:sz="0" w:space="0" w:color="auto"/>
      </w:divBdr>
      <w:divsChild>
        <w:div w:id="1257444386">
          <w:marLeft w:val="547"/>
          <w:marRight w:val="0"/>
          <w:marTop w:val="0"/>
          <w:marBottom w:val="0"/>
          <w:divBdr>
            <w:top w:val="none" w:sz="0" w:space="0" w:color="auto"/>
            <w:left w:val="none" w:sz="0" w:space="0" w:color="auto"/>
            <w:bottom w:val="none" w:sz="0" w:space="0" w:color="auto"/>
            <w:right w:val="none" w:sz="0" w:space="0" w:color="auto"/>
          </w:divBdr>
        </w:div>
        <w:div w:id="2027098867">
          <w:marLeft w:val="547"/>
          <w:marRight w:val="0"/>
          <w:marTop w:val="0"/>
          <w:marBottom w:val="0"/>
          <w:divBdr>
            <w:top w:val="none" w:sz="0" w:space="0" w:color="auto"/>
            <w:left w:val="none" w:sz="0" w:space="0" w:color="auto"/>
            <w:bottom w:val="none" w:sz="0" w:space="0" w:color="auto"/>
            <w:right w:val="none" w:sz="0" w:space="0" w:color="auto"/>
          </w:divBdr>
        </w:div>
        <w:div w:id="1069889396">
          <w:marLeft w:val="547"/>
          <w:marRight w:val="0"/>
          <w:marTop w:val="0"/>
          <w:marBottom w:val="0"/>
          <w:divBdr>
            <w:top w:val="none" w:sz="0" w:space="0" w:color="auto"/>
            <w:left w:val="none" w:sz="0" w:space="0" w:color="auto"/>
            <w:bottom w:val="none" w:sz="0" w:space="0" w:color="auto"/>
            <w:right w:val="none" w:sz="0" w:space="0" w:color="auto"/>
          </w:divBdr>
        </w:div>
        <w:div w:id="1027021040">
          <w:marLeft w:val="547"/>
          <w:marRight w:val="0"/>
          <w:marTop w:val="0"/>
          <w:marBottom w:val="0"/>
          <w:divBdr>
            <w:top w:val="none" w:sz="0" w:space="0" w:color="auto"/>
            <w:left w:val="none" w:sz="0" w:space="0" w:color="auto"/>
            <w:bottom w:val="none" w:sz="0" w:space="0" w:color="auto"/>
            <w:right w:val="none" w:sz="0" w:space="0" w:color="auto"/>
          </w:divBdr>
        </w:div>
        <w:div w:id="1015499836">
          <w:marLeft w:val="547"/>
          <w:marRight w:val="0"/>
          <w:marTop w:val="0"/>
          <w:marBottom w:val="0"/>
          <w:divBdr>
            <w:top w:val="none" w:sz="0" w:space="0" w:color="auto"/>
            <w:left w:val="none" w:sz="0" w:space="0" w:color="auto"/>
            <w:bottom w:val="none" w:sz="0" w:space="0" w:color="auto"/>
            <w:right w:val="none" w:sz="0" w:space="0" w:color="auto"/>
          </w:divBdr>
        </w:div>
        <w:div w:id="277680722">
          <w:marLeft w:val="547"/>
          <w:marRight w:val="0"/>
          <w:marTop w:val="0"/>
          <w:marBottom w:val="0"/>
          <w:divBdr>
            <w:top w:val="none" w:sz="0" w:space="0" w:color="auto"/>
            <w:left w:val="none" w:sz="0" w:space="0" w:color="auto"/>
            <w:bottom w:val="none" w:sz="0" w:space="0" w:color="auto"/>
            <w:right w:val="none" w:sz="0" w:space="0" w:color="auto"/>
          </w:divBdr>
        </w:div>
        <w:div w:id="2141066666">
          <w:marLeft w:val="547"/>
          <w:marRight w:val="0"/>
          <w:marTop w:val="0"/>
          <w:marBottom w:val="0"/>
          <w:divBdr>
            <w:top w:val="none" w:sz="0" w:space="0" w:color="auto"/>
            <w:left w:val="none" w:sz="0" w:space="0" w:color="auto"/>
            <w:bottom w:val="none" w:sz="0" w:space="0" w:color="auto"/>
            <w:right w:val="none" w:sz="0" w:space="0" w:color="auto"/>
          </w:divBdr>
        </w:div>
        <w:div w:id="245462703">
          <w:marLeft w:val="547"/>
          <w:marRight w:val="0"/>
          <w:marTop w:val="0"/>
          <w:marBottom w:val="0"/>
          <w:divBdr>
            <w:top w:val="none" w:sz="0" w:space="0" w:color="auto"/>
            <w:left w:val="none" w:sz="0" w:space="0" w:color="auto"/>
            <w:bottom w:val="none" w:sz="0" w:space="0" w:color="auto"/>
            <w:right w:val="none" w:sz="0" w:space="0" w:color="auto"/>
          </w:divBdr>
        </w:div>
        <w:div w:id="817376465">
          <w:marLeft w:val="547"/>
          <w:marRight w:val="0"/>
          <w:marTop w:val="0"/>
          <w:marBottom w:val="0"/>
          <w:divBdr>
            <w:top w:val="none" w:sz="0" w:space="0" w:color="auto"/>
            <w:left w:val="none" w:sz="0" w:space="0" w:color="auto"/>
            <w:bottom w:val="none" w:sz="0" w:space="0" w:color="auto"/>
            <w:right w:val="none" w:sz="0" w:space="0" w:color="auto"/>
          </w:divBdr>
        </w:div>
        <w:div w:id="1116830036">
          <w:marLeft w:val="547"/>
          <w:marRight w:val="0"/>
          <w:marTop w:val="0"/>
          <w:marBottom w:val="0"/>
          <w:divBdr>
            <w:top w:val="none" w:sz="0" w:space="0" w:color="auto"/>
            <w:left w:val="none" w:sz="0" w:space="0" w:color="auto"/>
            <w:bottom w:val="none" w:sz="0" w:space="0" w:color="auto"/>
            <w:right w:val="none" w:sz="0" w:space="0" w:color="auto"/>
          </w:divBdr>
        </w:div>
        <w:div w:id="1573924278">
          <w:marLeft w:val="547"/>
          <w:marRight w:val="0"/>
          <w:marTop w:val="0"/>
          <w:marBottom w:val="0"/>
          <w:divBdr>
            <w:top w:val="none" w:sz="0" w:space="0" w:color="auto"/>
            <w:left w:val="none" w:sz="0" w:space="0" w:color="auto"/>
            <w:bottom w:val="none" w:sz="0" w:space="0" w:color="auto"/>
            <w:right w:val="none" w:sz="0" w:space="0" w:color="auto"/>
          </w:divBdr>
        </w:div>
        <w:div w:id="1905984780">
          <w:marLeft w:val="547"/>
          <w:marRight w:val="0"/>
          <w:marTop w:val="0"/>
          <w:marBottom w:val="0"/>
          <w:divBdr>
            <w:top w:val="none" w:sz="0" w:space="0" w:color="auto"/>
            <w:left w:val="none" w:sz="0" w:space="0" w:color="auto"/>
            <w:bottom w:val="none" w:sz="0" w:space="0" w:color="auto"/>
            <w:right w:val="none" w:sz="0" w:space="0" w:color="auto"/>
          </w:divBdr>
        </w:div>
      </w:divsChild>
    </w:div>
    <w:div w:id="1313633904">
      <w:bodyDiv w:val="1"/>
      <w:marLeft w:val="0"/>
      <w:marRight w:val="0"/>
      <w:marTop w:val="0"/>
      <w:marBottom w:val="0"/>
      <w:divBdr>
        <w:top w:val="none" w:sz="0" w:space="0" w:color="auto"/>
        <w:left w:val="none" w:sz="0" w:space="0" w:color="auto"/>
        <w:bottom w:val="none" w:sz="0" w:space="0" w:color="auto"/>
        <w:right w:val="none" w:sz="0" w:space="0" w:color="auto"/>
      </w:divBdr>
      <w:divsChild>
        <w:div w:id="1371950533">
          <w:marLeft w:val="547"/>
          <w:marRight w:val="0"/>
          <w:marTop w:val="0"/>
          <w:marBottom w:val="0"/>
          <w:divBdr>
            <w:top w:val="none" w:sz="0" w:space="0" w:color="auto"/>
            <w:left w:val="none" w:sz="0" w:space="0" w:color="auto"/>
            <w:bottom w:val="none" w:sz="0" w:space="0" w:color="auto"/>
            <w:right w:val="none" w:sz="0" w:space="0" w:color="auto"/>
          </w:divBdr>
        </w:div>
        <w:div w:id="997613163">
          <w:marLeft w:val="547"/>
          <w:marRight w:val="0"/>
          <w:marTop w:val="0"/>
          <w:marBottom w:val="0"/>
          <w:divBdr>
            <w:top w:val="none" w:sz="0" w:space="0" w:color="auto"/>
            <w:left w:val="none" w:sz="0" w:space="0" w:color="auto"/>
            <w:bottom w:val="none" w:sz="0" w:space="0" w:color="auto"/>
            <w:right w:val="none" w:sz="0" w:space="0" w:color="auto"/>
          </w:divBdr>
        </w:div>
        <w:div w:id="2116171634">
          <w:marLeft w:val="547"/>
          <w:marRight w:val="0"/>
          <w:marTop w:val="0"/>
          <w:marBottom w:val="0"/>
          <w:divBdr>
            <w:top w:val="none" w:sz="0" w:space="0" w:color="auto"/>
            <w:left w:val="none" w:sz="0" w:space="0" w:color="auto"/>
            <w:bottom w:val="none" w:sz="0" w:space="0" w:color="auto"/>
            <w:right w:val="none" w:sz="0" w:space="0" w:color="auto"/>
          </w:divBdr>
        </w:div>
        <w:div w:id="1602176745">
          <w:marLeft w:val="547"/>
          <w:marRight w:val="0"/>
          <w:marTop w:val="0"/>
          <w:marBottom w:val="0"/>
          <w:divBdr>
            <w:top w:val="none" w:sz="0" w:space="0" w:color="auto"/>
            <w:left w:val="none" w:sz="0" w:space="0" w:color="auto"/>
            <w:bottom w:val="none" w:sz="0" w:space="0" w:color="auto"/>
            <w:right w:val="none" w:sz="0" w:space="0" w:color="auto"/>
          </w:divBdr>
        </w:div>
        <w:div w:id="7758105">
          <w:marLeft w:val="547"/>
          <w:marRight w:val="0"/>
          <w:marTop w:val="0"/>
          <w:marBottom w:val="0"/>
          <w:divBdr>
            <w:top w:val="none" w:sz="0" w:space="0" w:color="auto"/>
            <w:left w:val="none" w:sz="0" w:space="0" w:color="auto"/>
            <w:bottom w:val="none" w:sz="0" w:space="0" w:color="auto"/>
            <w:right w:val="none" w:sz="0" w:space="0" w:color="auto"/>
          </w:divBdr>
        </w:div>
        <w:div w:id="586691255">
          <w:marLeft w:val="547"/>
          <w:marRight w:val="0"/>
          <w:marTop w:val="0"/>
          <w:marBottom w:val="0"/>
          <w:divBdr>
            <w:top w:val="none" w:sz="0" w:space="0" w:color="auto"/>
            <w:left w:val="none" w:sz="0" w:space="0" w:color="auto"/>
            <w:bottom w:val="none" w:sz="0" w:space="0" w:color="auto"/>
            <w:right w:val="none" w:sz="0" w:space="0" w:color="auto"/>
          </w:divBdr>
        </w:div>
        <w:div w:id="494414631">
          <w:marLeft w:val="547"/>
          <w:marRight w:val="0"/>
          <w:marTop w:val="0"/>
          <w:marBottom w:val="0"/>
          <w:divBdr>
            <w:top w:val="none" w:sz="0" w:space="0" w:color="auto"/>
            <w:left w:val="none" w:sz="0" w:space="0" w:color="auto"/>
            <w:bottom w:val="none" w:sz="0" w:space="0" w:color="auto"/>
            <w:right w:val="none" w:sz="0" w:space="0" w:color="auto"/>
          </w:divBdr>
        </w:div>
        <w:div w:id="1749770312">
          <w:marLeft w:val="547"/>
          <w:marRight w:val="0"/>
          <w:marTop w:val="0"/>
          <w:marBottom w:val="0"/>
          <w:divBdr>
            <w:top w:val="none" w:sz="0" w:space="0" w:color="auto"/>
            <w:left w:val="none" w:sz="0" w:space="0" w:color="auto"/>
            <w:bottom w:val="none" w:sz="0" w:space="0" w:color="auto"/>
            <w:right w:val="none" w:sz="0" w:space="0" w:color="auto"/>
          </w:divBdr>
        </w:div>
      </w:divsChild>
    </w:div>
    <w:div w:id="1322391908">
      <w:bodyDiv w:val="1"/>
      <w:marLeft w:val="0"/>
      <w:marRight w:val="0"/>
      <w:marTop w:val="0"/>
      <w:marBottom w:val="0"/>
      <w:divBdr>
        <w:top w:val="none" w:sz="0" w:space="0" w:color="auto"/>
        <w:left w:val="none" w:sz="0" w:space="0" w:color="auto"/>
        <w:bottom w:val="none" w:sz="0" w:space="0" w:color="auto"/>
        <w:right w:val="none" w:sz="0" w:space="0" w:color="auto"/>
      </w:divBdr>
    </w:div>
    <w:div w:id="1324968531">
      <w:bodyDiv w:val="1"/>
      <w:marLeft w:val="0"/>
      <w:marRight w:val="0"/>
      <w:marTop w:val="0"/>
      <w:marBottom w:val="0"/>
      <w:divBdr>
        <w:top w:val="none" w:sz="0" w:space="0" w:color="auto"/>
        <w:left w:val="none" w:sz="0" w:space="0" w:color="auto"/>
        <w:bottom w:val="none" w:sz="0" w:space="0" w:color="auto"/>
        <w:right w:val="none" w:sz="0" w:space="0" w:color="auto"/>
      </w:divBdr>
    </w:div>
    <w:div w:id="1379664563">
      <w:bodyDiv w:val="1"/>
      <w:marLeft w:val="0"/>
      <w:marRight w:val="0"/>
      <w:marTop w:val="0"/>
      <w:marBottom w:val="0"/>
      <w:divBdr>
        <w:top w:val="none" w:sz="0" w:space="0" w:color="auto"/>
        <w:left w:val="none" w:sz="0" w:space="0" w:color="auto"/>
        <w:bottom w:val="none" w:sz="0" w:space="0" w:color="auto"/>
        <w:right w:val="none" w:sz="0" w:space="0" w:color="auto"/>
      </w:divBdr>
      <w:divsChild>
        <w:div w:id="440993957">
          <w:marLeft w:val="547"/>
          <w:marRight w:val="0"/>
          <w:marTop w:val="0"/>
          <w:marBottom w:val="0"/>
          <w:divBdr>
            <w:top w:val="none" w:sz="0" w:space="0" w:color="auto"/>
            <w:left w:val="none" w:sz="0" w:space="0" w:color="auto"/>
            <w:bottom w:val="none" w:sz="0" w:space="0" w:color="auto"/>
            <w:right w:val="none" w:sz="0" w:space="0" w:color="auto"/>
          </w:divBdr>
        </w:div>
        <w:div w:id="1655524589">
          <w:marLeft w:val="547"/>
          <w:marRight w:val="0"/>
          <w:marTop w:val="0"/>
          <w:marBottom w:val="0"/>
          <w:divBdr>
            <w:top w:val="none" w:sz="0" w:space="0" w:color="auto"/>
            <w:left w:val="none" w:sz="0" w:space="0" w:color="auto"/>
            <w:bottom w:val="none" w:sz="0" w:space="0" w:color="auto"/>
            <w:right w:val="none" w:sz="0" w:space="0" w:color="auto"/>
          </w:divBdr>
        </w:div>
        <w:div w:id="1744715772">
          <w:marLeft w:val="547"/>
          <w:marRight w:val="0"/>
          <w:marTop w:val="0"/>
          <w:marBottom w:val="0"/>
          <w:divBdr>
            <w:top w:val="none" w:sz="0" w:space="0" w:color="auto"/>
            <w:left w:val="none" w:sz="0" w:space="0" w:color="auto"/>
            <w:bottom w:val="none" w:sz="0" w:space="0" w:color="auto"/>
            <w:right w:val="none" w:sz="0" w:space="0" w:color="auto"/>
          </w:divBdr>
        </w:div>
        <w:div w:id="27528535">
          <w:marLeft w:val="547"/>
          <w:marRight w:val="0"/>
          <w:marTop w:val="0"/>
          <w:marBottom w:val="0"/>
          <w:divBdr>
            <w:top w:val="none" w:sz="0" w:space="0" w:color="auto"/>
            <w:left w:val="none" w:sz="0" w:space="0" w:color="auto"/>
            <w:bottom w:val="none" w:sz="0" w:space="0" w:color="auto"/>
            <w:right w:val="none" w:sz="0" w:space="0" w:color="auto"/>
          </w:divBdr>
        </w:div>
        <w:div w:id="630551001">
          <w:marLeft w:val="547"/>
          <w:marRight w:val="0"/>
          <w:marTop w:val="0"/>
          <w:marBottom w:val="0"/>
          <w:divBdr>
            <w:top w:val="none" w:sz="0" w:space="0" w:color="auto"/>
            <w:left w:val="none" w:sz="0" w:space="0" w:color="auto"/>
            <w:bottom w:val="none" w:sz="0" w:space="0" w:color="auto"/>
            <w:right w:val="none" w:sz="0" w:space="0" w:color="auto"/>
          </w:divBdr>
        </w:div>
        <w:div w:id="1659455463">
          <w:marLeft w:val="547"/>
          <w:marRight w:val="0"/>
          <w:marTop w:val="0"/>
          <w:marBottom w:val="0"/>
          <w:divBdr>
            <w:top w:val="none" w:sz="0" w:space="0" w:color="auto"/>
            <w:left w:val="none" w:sz="0" w:space="0" w:color="auto"/>
            <w:bottom w:val="none" w:sz="0" w:space="0" w:color="auto"/>
            <w:right w:val="none" w:sz="0" w:space="0" w:color="auto"/>
          </w:divBdr>
        </w:div>
        <w:div w:id="1573075647">
          <w:marLeft w:val="547"/>
          <w:marRight w:val="0"/>
          <w:marTop w:val="0"/>
          <w:marBottom w:val="0"/>
          <w:divBdr>
            <w:top w:val="none" w:sz="0" w:space="0" w:color="auto"/>
            <w:left w:val="none" w:sz="0" w:space="0" w:color="auto"/>
            <w:bottom w:val="none" w:sz="0" w:space="0" w:color="auto"/>
            <w:right w:val="none" w:sz="0" w:space="0" w:color="auto"/>
          </w:divBdr>
        </w:div>
        <w:div w:id="1638223393">
          <w:marLeft w:val="547"/>
          <w:marRight w:val="0"/>
          <w:marTop w:val="0"/>
          <w:marBottom w:val="0"/>
          <w:divBdr>
            <w:top w:val="none" w:sz="0" w:space="0" w:color="auto"/>
            <w:left w:val="none" w:sz="0" w:space="0" w:color="auto"/>
            <w:bottom w:val="none" w:sz="0" w:space="0" w:color="auto"/>
            <w:right w:val="none" w:sz="0" w:space="0" w:color="auto"/>
          </w:divBdr>
        </w:div>
        <w:div w:id="1877234799">
          <w:marLeft w:val="547"/>
          <w:marRight w:val="0"/>
          <w:marTop w:val="0"/>
          <w:marBottom w:val="0"/>
          <w:divBdr>
            <w:top w:val="none" w:sz="0" w:space="0" w:color="auto"/>
            <w:left w:val="none" w:sz="0" w:space="0" w:color="auto"/>
            <w:bottom w:val="none" w:sz="0" w:space="0" w:color="auto"/>
            <w:right w:val="none" w:sz="0" w:space="0" w:color="auto"/>
          </w:divBdr>
        </w:div>
        <w:div w:id="400451613">
          <w:marLeft w:val="547"/>
          <w:marRight w:val="0"/>
          <w:marTop w:val="0"/>
          <w:marBottom w:val="0"/>
          <w:divBdr>
            <w:top w:val="none" w:sz="0" w:space="0" w:color="auto"/>
            <w:left w:val="none" w:sz="0" w:space="0" w:color="auto"/>
            <w:bottom w:val="none" w:sz="0" w:space="0" w:color="auto"/>
            <w:right w:val="none" w:sz="0" w:space="0" w:color="auto"/>
          </w:divBdr>
        </w:div>
        <w:div w:id="1777215811">
          <w:marLeft w:val="547"/>
          <w:marRight w:val="0"/>
          <w:marTop w:val="0"/>
          <w:marBottom w:val="0"/>
          <w:divBdr>
            <w:top w:val="none" w:sz="0" w:space="0" w:color="auto"/>
            <w:left w:val="none" w:sz="0" w:space="0" w:color="auto"/>
            <w:bottom w:val="none" w:sz="0" w:space="0" w:color="auto"/>
            <w:right w:val="none" w:sz="0" w:space="0" w:color="auto"/>
          </w:divBdr>
        </w:div>
        <w:div w:id="1108044149">
          <w:marLeft w:val="547"/>
          <w:marRight w:val="0"/>
          <w:marTop w:val="0"/>
          <w:marBottom w:val="0"/>
          <w:divBdr>
            <w:top w:val="none" w:sz="0" w:space="0" w:color="auto"/>
            <w:left w:val="none" w:sz="0" w:space="0" w:color="auto"/>
            <w:bottom w:val="none" w:sz="0" w:space="0" w:color="auto"/>
            <w:right w:val="none" w:sz="0" w:space="0" w:color="auto"/>
          </w:divBdr>
        </w:div>
      </w:divsChild>
    </w:div>
    <w:div w:id="1387753270">
      <w:bodyDiv w:val="1"/>
      <w:marLeft w:val="0"/>
      <w:marRight w:val="0"/>
      <w:marTop w:val="0"/>
      <w:marBottom w:val="0"/>
      <w:divBdr>
        <w:top w:val="none" w:sz="0" w:space="0" w:color="auto"/>
        <w:left w:val="none" w:sz="0" w:space="0" w:color="auto"/>
        <w:bottom w:val="none" w:sz="0" w:space="0" w:color="auto"/>
        <w:right w:val="none" w:sz="0" w:space="0" w:color="auto"/>
      </w:divBdr>
      <w:divsChild>
        <w:div w:id="268856239">
          <w:marLeft w:val="446"/>
          <w:marRight w:val="0"/>
          <w:marTop w:val="0"/>
          <w:marBottom w:val="0"/>
          <w:divBdr>
            <w:top w:val="none" w:sz="0" w:space="0" w:color="auto"/>
            <w:left w:val="none" w:sz="0" w:space="0" w:color="auto"/>
            <w:bottom w:val="none" w:sz="0" w:space="0" w:color="auto"/>
            <w:right w:val="none" w:sz="0" w:space="0" w:color="auto"/>
          </w:divBdr>
        </w:div>
      </w:divsChild>
    </w:div>
    <w:div w:id="1388527673">
      <w:bodyDiv w:val="1"/>
      <w:marLeft w:val="0"/>
      <w:marRight w:val="0"/>
      <w:marTop w:val="0"/>
      <w:marBottom w:val="0"/>
      <w:divBdr>
        <w:top w:val="none" w:sz="0" w:space="0" w:color="auto"/>
        <w:left w:val="none" w:sz="0" w:space="0" w:color="auto"/>
        <w:bottom w:val="none" w:sz="0" w:space="0" w:color="auto"/>
        <w:right w:val="none" w:sz="0" w:space="0" w:color="auto"/>
      </w:divBdr>
      <w:divsChild>
        <w:div w:id="1610309220">
          <w:marLeft w:val="547"/>
          <w:marRight w:val="0"/>
          <w:marTop w:val="0"/>
          <w:marBottom w:val="0"/>
          <w:divBdr>
            <w:top w:val="none" w:sz="0" w:space="0" w:color="auto"/>
            <w:left w:val="none" w:sz="0" w:space="0" w:color="auto"/>
            <w:bottom w:val="none" w:sz="0" w:space="0" w:color="auto"/>
            <w:right w:val="none" w:sz="0" w:space="0" w:color="auto"/>
          </w:divBdr>
        </w:div>
        <w:div w:id="957562728">
          <w:marLeft w:val="547"/>
          <w:marRight w:val="0"/>
          <w:marTop w:val="0"/>
          <w:marBottom w:val="0"/>
          <w:divBdr>
            <w:top w:val="none" w:sz="0" w:space="0" w:color="auto"/>
            <w:left w:val="none" w:sz="0" w:space="0" w:color="auto"/>
            <w:bottom w:val="none" w:sz="0" w:space="0" w:color="auto"/>
            <w:right w:val="none" w:sz="0" w:space="0" w:color="auto"/>
          </w:divBdr>
        </w:div>
        <w:div w:id="1432360748">
          <w:marLeft w:val="547"/>
          <w:marRight w:val="0"/>
          <w:marTop w:val="0"/>
          <w:marBottom w:val="0"/>
          <w:divBdr>
            <w:top w:val="none" w:sz="0" w:space="0" w:color="auto"/>
            <w:left w:val="none" w:sz="0" w:space="0" w:color="auto"/>
            <w:bottom w:val="none" w:sz="0" w:space="0" w:color="auto"/>
            <w:right w:val="none" w:sz="0" w:space="0" w:color="auto"/>
          </w:divBdr>
        </w:div>
        <w:div w:id="448548481">
          <w:marLeft w:val="547"/>
          <w:marRight w:val="0"/>
          <w:marTop w:val="0"/>
          <w:marBottom w:val="0"/>
          <w:divBdr>
            <w:top w:val="none" w:sz="0" w:space="0" w:color="auto"/>
            <w:left w:val="none" w:sz="0" w:space="0" w:color="auto"/>
            <w:bottom w:val="none" w:sz="0" w:space="0" w:color="auto"/>
            <w:right w:val="none" w:sz="0" w:space="0" w:color="auto"/>
          </w:divBdr>
        </w:div>
        <w:div w:id="1319768582">
          <w:marLeft w:val="547"/>
          <w:marRight w:val="0"/>
          <w:marTop w:val="0"/>
          <w:marBottom w:val="0"/>
          <w:divBdr>
            <w:top w:val="none" w:sz="0" w:space="0" w:color="auto"/>
            <w:left w:val="none" w:sz="0" w:space="0" w:color="auto"/>
            <w:bottom w:val="none" w:sz="0" w:space="0" w:color="auto"/>
            <w:right w:val="none" w:sz="0" w:space="0" w:color="auto"/>
          </w:divBdr>
        </w:div>
        <w:div w:id="2101749948">
          <w:marLeft w:val="547"/>
          <w:marRight w:val="0"/>
          <w:marTop w:val="0"/>
          <w:marBottom w:val="0"/>
          <w:divBdr>
            <w:top w:val="none" w:sz="0" w:space="0" w:color="auto"/>
            <w:left w:val="none" w:sz="0" w:space="0" w:color="auto"/>
            <w:bottom w:val="none" w:sz="0" w:space="0" w:color="auto"/>
            <w:right w:val="none" w:sz="0" w:space="0" w:color="auto"/>
          </w:divBdr>
        </w:div>
        <w:div w:id="59064653">
          <w:marLeft w:val="547"/>
          <w:marRight w:val="0"/>
          <w:marTop w:val="0"/>
          <w:marBottom w:val="0"/>
          <w:divBdr>
            <w:top w:val="none" w:sz="0" w:space="0" w:color="auto"/>
            <w:left w:val="none" w:sz="0" w:space="0" w:color="auto"/>
            <w:bottom w:val="none" w:sz="0" w:space="0" w:color="auto"/>
            <w:right w:val="none" w:sz="0" w:space="0" w:color="auto"/>
          </w:divBdr>
        </w:div>
        <w:div w:id="2082438079">
          <w:marLeft w:val="547"/>
          <w:marRight w:val="0"/>
          <w:marTop w:val="0"/>
          <w:marBottom w:val="0"/>
          <w:divBdr>
            <w:top w:val="none" w:sz="0" w:space="0" w:color="auto"/>
            <w:left w:val="none" w:sz="0" w:space="0" w:color="auto"/>
            <w:bottom w:val="none" w:sz="0" w:space="0" w:color="auto"/>
            <w:right w:val="none" w:sz="0" w:space="0" w:color="auto"/>
          </w:divBdr>
        </w:div>
      </w:divsChild>
    </w:div>
    <w:div w:id="1447769547">
      <w:bodyDiv w:val="1"/>
      <w:marLeft w:val="0"/>
      <w:marRight w:val="0"/>
      <w:marTop w:val="0"/>
      <w:marBottom w:val="0"/>
      <w:divBdr>
        <w:top w:val="none" w:sz="0" w:space="0" w:color="auto"/>
        <w:left w:val="none" w:sz="0" w:space="0" w:color="auto"/>
        <w:bottom w:val="none" w:sz="0" w:space="0" w:color="auto"/>
        <w:right w:val="none" w:sz="0" w:space="0" w:color="auto"/>
      </w:divBdr>
      <w:divsChild>
        <w:div w:id="118573757">
          <w:marLeft w:val="0"/>
          <w:marRight w:val="0"/>
          <w:marTop w:val="0"/>
          <w:marBottom w:val="0"/>
          <w:divBdr>
            <w:top w:val="none" w:sz="0" w:space="0" w:color="auto"/>
            <w:left w:val="none" w:sz="0" w:space="0" w:color="auto"/>
            <w:bottom w:val="none" w:sz="0" w:space="0" w:color="auto"/>
            <w:right w:val="none" w:sz="0" w:space="0" w:color="auto"/>
          </w:divBdr>
        </w:div>
      </w:divsChild>
    </w:div>
    <w:div w:id="1459567162">
      <w:bodyDiv w:val="1"/>
      <w:marLeft w:val="0"/>
      <w:marRight w:val="0"/>
      <w:marTop w:val="0"/>
      <w:marBottom w:val="0"/>
      <w:divBdr>
        <w:top w:val="none" w:sz="0" w:space="0" w:color="auto"/>
        <w:left w:val="none" w:sz="0" w:space="0" w:color="auto"/>
        <w:bottom w:val="none" w:sz="0" w:space="0" w:color="auto"/>
        <w:right w:val="none" w:sz="0" w:space="0" w:color="auto"/>
      </w:divBdr>
    </w:div>
    <w:div w:id="1489905163">
      <w:bodyDiv w:val="1"/>
      <w:marLeft w:val="0"/>
      <w:marRight w:val="0"/>
      <w:marTop w:val="0"/>
      <w:marBottom w:val="0"/>
      <w:divBdr>
        <w:top w:val="none" w:sz="0" w:space="0" w:color="auto"/>
        <w:left w:val="none" w:sz="0" w:space="0" w:color="auto"/>
        <w:bottom w:val="none" w:sz="0" w:space="0" w:color="auto"/>
        <w:right w:val="none" w:sz="0" w:space="0" w:color="auto"/>
      </w:divBdr>
      <w:divsChild>
        <w:div w:id="1517574173">
          <w:marLeft w:val="446"/>
          <w:marRight w:val="0"/>
          <w:marTop w:val="0"/>
          <w:marBottom w:val="0"/>
          <w:divBdr>
            <w:top w:val="none" w:sz="0" w:space="0" w:color="auto"/>
            <w:left w:val="none" w:sz="0" w:space="0" w:color="auto"/>
            <w:bottom w:val="none" w:sz="0" w:space="0" w:color="auto"/>
            <w:right w:val="none" w:sz="0" w:space="0" w:color="auto"/>
          </w:divBdr>
        </w:div>
        <w:div w:id="55590702">
          <w:marLeft w:val="446"/>
          <w:marRight w:val="0"/>
          <w:marTop w:val="0"/>
          <w:marBottom w:val="0"/>
          <w:divBdr>
            <w:top w:val="none" w:sz="0" w:space="0" w:color="auto"/>
            <w:left w:val="none" w:sz="0" w:space="0" w:color="auto"/>
            <w:bottom w:val="none" w:sz="0" w:space="0" w:color="auto"/>
            <w:right w:val="none" w:sz="0" w:space="0" w:color="auto"/>
          </w:divBdr>
        </w:div>
        <w:div w:id="337735310">
          <w:marLeft w:val="446"/>
          <w:marRight w:val="0"/>
          <w:marTop w:val="0"/>
          <w:marBottom w:val="0"/>
          <w:divBdr>
            <w:top w:val="none" w:sz="0" w:space="0" w:color="auto"/>
            <w:left w:val="none" w:sz="0" w:space="0" w:color="auto"/>
            <w:bottom w:val="none" w:sz="0" w:space="0" w:color="auto"/>
            <w:right w:val="none" w:sz="0" w:space="0" w:color="auto"/>
          </w:divBdr>
        </w:div>
      </w:divsChild>
    </w:div>
    <w:div w:id="1536962634">
      <w:bodyDiv w:val="1"/>
      <w:marLeft w:val="0"/>
      <w:marRight w:val="0"/>
      <w:marTop w:val="0"/>
      <w:marBottom w:val="0"/>
      <w:divBdr>
        <w:top w:val="none" w:sz="0" w:space="0" w:color="auto"/>
        <w:left w:val="none" w:sz="0" w:space="0" w:color="auto"/>
        <w:bottom w:val="none" w:sz="0" w:space="0" w:color="auto"/>
        <w:right w:val="none" w:sz="0" w:space="0" w:color="auto"/>
      </w:divBdr>
    </w:div>
    <w:div w:id="1585071688">
      <w:bodyDiv w:val="1"/>
      <w:marLeft w:val="0"/>
      <w:marRight w:val="0"/>
      <w:marTop w:val="0"/>
      <w:marBottom w:val="0"/>
      <w:divBdr>
        <w:top w:val="none" w:sz="0" w:space="0" w:color="auto"/>
        <w:left w:val="none" w:sz="0" w:space="0" w:color="auto"/>
        <w:bottom w:val="none" w:sz="0" w:space="0" w:color="auto"/>
        <w:right w:val="none" w:sz="0" w:space="0" w:color="auto"/>
      </w:divBdr>
    </w:div>
    <w:div w:id="1592007044">
      <w:bodyDiv w:val="1"/>
      <w:marLeft w:val="0"/>
      <w:marRight w:val="0"/>
      <w:marTop w:val="0"/>
      <w:marBottom w:val="0"/>
      <w:divBdr>
        <w:top w:val="none" w:sz="0" w:space="0" w:color="auto"/>
        <w:left w:val="none" w:sz="0" w:space="0" w:color="auto"/>
        <w:bottom w:val="none" w:sz="0" w:space="0" w:color="auto"/>
        <w:right w:val="none" w:sz="0" w:space="0" w:color="auto"/>
      </w:divBdr>
    </w:div>
    <w:div w:id="1593277938">
      <w:bodyDiv w:val="1"/>
      <w:marLeft w:val="0"/>
      <w:marRight w:val="0"/>
      <w:marTop w:val="0"/>
      <w:marBottom w:val="0"/>
      <w:divBdr>
        <w:top w:val="none" w:sz="0" w:space="0" w:color="auto"/>
        <w:left w:val="none" w:sz="0" w:space="0" w:color="auto"/>
        <w:bottom w:val="none" w:sz="0" w:space="0" w:color="auto"/>
        <w:right w:val="none" w:sz="0" w:space="0" w:color="auto"/>
      </w:divBdr>
    </w:div>
    <w:div w:id="1622300920">
      <w:bodyDiv w:val="1"/>
      <w:marLeft w:val="0"/>
      <w:marRight w:val="0"/>
      <w:marTop w:val="0"/>
      <w:marBottom w:val="0"/>
      <w:divBdr>
        <w:top w:val="none" w:sz="0" w:space="0" w:color="auto"/>
        <w:left w:val="none" w:sz="0" w:space="0" w:color="auto"/>
        <w:bottom w:val="none" w:sz="0" w:space="0" w:color="auto"/>
        <w:right w:val="none" w:sz="0" w:space="0" w:color="auto"/>
      </w:divBdr>
      <w:divsChild>
        <w:div w:id="695739674">
          <w:marLeft w:val="446"/>
          <w:marRight w:val="0"/>
          <w:marTop w:val="0"/>
          <w:marBottom w:val="0"/>
          <w:divBdr>
            <w:top w:val="none" w:sz="0" w:space="0" w:color="auto"/>
            <w:left w:val="none" w:sz="0" w:space="0" w:color="auto"/>
            <w:bottom w:val="none" w:sz="0" w:space="0" w:color="auto"/>
            <w:right w:val="none" w:sz="0" w:space="0" w:color="auto"/>
          </w:divBdr>
        </w:div>
        <w:div w:id="2013799846">
          <w:marLeft w:val="446"/>
          <w:marRight w:val="0"/>
          <w:marTop w:val="0"/>
          <w:marBottom w:val="0"/>
          <w:divBdr>
            <w:top w:val="none" w:sz="0" w:space="0" w:color="auto"/>
            <w:left w:val="none" w:sz="0" w:space="0" w:color="auto"/>
            <w:bottom w:val="none" w:sz="0" w:space="0" w:color="auto"/>
            <w:right w:val="none" w:sz="0" w:space="0" w:color="auto"/>
          </w:divBdr>
        </w:div>
      </w:divsChild>
    </w:div>
    <w:div w:id="1627345636">
      <w:bodyDiv w:val="1"/>
      <w:marLeft w:val="0"/>
      <w:marRight w:val="0"/>
      <w:marTop w:val="0"/>
      <w:marBottom w:val="0"/>
      <w:divBdr>
        <w:top w:val="none" w:sz="0" w:space="0" w:color="auto"/>
        <w:left w:val="none" w:sz="0" w:space="0" w:color="auto"/>
        <w:bottom w:val="none" w:sz="0" w:space="0" w:color="auto"/>
        <w:right w:val="none" w:sz="0" w:space="0" w:color="auto"/>
      </w:divBdr>
    </w:div>
    <w:div w:id="1652324584">
      <w:bodyDiv w:val="1"/>
      <w:marLeft w:val="0"/>
      <w:marRight w:val="0"/>
      <w:marTop w:val="0"/>
      <w:marBottom w:val="0"/>
      <w:divBdr>
        <w:top w:val="none" w:sz="0" w:space="0" w:color="auto"/>
        <w:left w:val="none" w:sz="0" w:space="0" w:color="auto"/>
        <w:bottom w:val="none" w:sz="0" w:space="0" w:color="auto"/>
        <w:right w:val="none" w:sz="0" w:space="0" w:color="auto"/>
      </w:divBdr>
    </w:div>
    <w:div w:id="1708874758">
      <w:bodyDiv w:val="1"/>
      <w:marLeft w:val="0"/>
      <w:marRight w:val="0"/>
      <w:marTop w:val="0"/>
      <w:marBottom w:val="0"/>
      <w:divBdr>
        <w:top w:val="none" w:sz="0" w:space="0" w:color="auto"/>
        <w:left w:val="none" w:sz="0" w:space="0" w:color="auto"/>
        <w:bottom w:val="none" w:sz="0" w:space="0" w:color="auto"/>
        <w:right w:val="none" w:sz="0" w:space="0" w:color="auto"/>
      </w:divBdr>
    </w:div>
    <w:div w:id="1736003080">
      <w:bodyDiv w:val="1"/>
      <w:marLeft w:val="0"/>
      <w:marRight w:val="0"/>
      <w:marTop w:val="0"/>
      <w:marBottom w:val="0"/>
      <w:divBdr>
        <w:top w:val="none" w:sz="0" w:space="0" w:color="auto"/>
        <w:left w:val="none" w:sz="0" w:space="0" w:color="auto"/>
        <w:bottom w:val="none" w:sz="0" w:space="0" w:color="auto"/>
        <w:right w:val="none" w:sz="0" w:space="0" w:color="auto"/>
      </w:divBdr>
    </w:div>
    <w:div w:id="1766996827">
      <w:bodyDiv w:val="1"/>
      <w:marLeft w:val="0"/>
      <w:marRight w:val="0"/>
      <w:marTop w:val="0"/>
      <w:marBottom w:val="0"/>
      <w:divBdr>
        <w:top w:val="none" w:sz="0" w:space="0" w:color="auto"/>
        <w:left w:val="none" w:sz="0" w:space="0" w:color="auto"/>
        <w:bottom w:val="none" w:sz="0" w:space="0" w:color="auto"/>
        <w:right w:val="none" w:sz="0" w:space="0" w:color="auto"/>
      </w:divBdr>
      <w:divsChild>
        <w:div w:id="154883312">
          <w:marLeft w:val="446"/>
          <w:marRight w:val="0"/>
          <w:marTop w:val="0"/>
          <w:marBottom w:val="0"/>
          <w:divBdr>
            <w:top w:val="none" w:sz="0" w:space="0" w:color="auto"/>
            <w:left w:val="none" w:sz="0" w:space="0" w:color="auto"/>
            <w:bottom w:val="none" w:sz="0" w:space="0" w:color="auto"/>
            <w:right w:val="none" w:sz="0" w:space="0" w:color="auto"/>
          </w:divBdr>
        </w:div>
        <w:div w:id="2009406912">
          <w:marLeft w:val="1166"/>
          <w:marRight w:val="0"/>
          <w:marTop w:val="0"/>
          <w:marBottom w:val="0"/>
          <w:divBdr>
            <w:top w:val="none" w:sz="0" w:space="0" w:color="auto"/>
            <w:left w:val="none" w:sz="0" w:space="0" w:color="auto"/>
            <w:bottom w:val="none" w:sz="0" w:space="0" w:color="auto"/>
            <w:right w:val="none" w:sz="0" w:space="0" w:color="auto"/>
          </w:divBdr>
        </w:div>
        <w:div w:id="1055736721">
          <w:marLeft w:val="1166"/>
          <w:marRight w:val="0"/>
          <w:marTop w:val="0"/>
          <w:marBottom w:val="0"/>
          <w:divBdr>
            <w:top w:val="none" w:sz="0" w:space="0" w:color="auto"/>
            <w:left w:val="none" w:sz="0" w:space="0" w:color="auto"/>
            <w:bottom w:val="none" w:sz="0" w:space="0" w:color="auto"/>
            <w:right w:val="none" w:sz="0" w:space="0" w:color="auto"/>
          </w:divBdr>
        </w:div>
        <w:div w:id="98188678">
          <w:marLeft w:val="1166"/>
          <w:marRight w:val="0"/>
          <w:marTop w:val="0"/>
          <w:marBottom w:val="0"/>
          <w:divBdr>
            <w:top w:val="none" w:sz="0" w:space="0" w:color="auto"/>
            <w:left w:val="none" w:sz="0" w:space="0" w:color="auto"/>
            <w:bottom w:val="none" w:sz="0" w:space="0" w:color="auto"/>
            <w:right w:val="none" w:sz="0" w:space="0" w:color="auto"/>
          </w:divBdr>
        </w:div>
        <w:div w:id="612130375">
          <w:marLeft w:val="1166"/>
          <w:marRight w:val="0"/>
          <w:marTop w:val="0"/>
          <w:marBottom w:val="0"/>
          <w:divBdr>
            <w:top w:val="none" w:sz="0" w:space="0" w:color="auto"/>
            <w:left w:val="none" w:sz="0" w:space="0" w:color="auto"/>
            <w:bottom w:val="none" w:sz="0" w:space="0" w:color="auto"/>
            <w:right w:val="none" w:sz="0" w:space="0" w:color="auto"/>
          </w:divBdr>
        </w:div>
      </w:divsChild>
    </w:div>
    <w:div w:id="1769615410">
      <w:bodyDiv w:val="1"/>
      <w:marLeft w:val="0"/>
      <w:marRight w:val="0"/>
      <w:marTop w:val="0"/>
      <w:marBottom w:val="0"/>
      <w:divBdr>
        <w:top w:val="none" w:sz="0" w:space="0" w:color="auto"/>
        <w:left w:val="none" w:sz="0" w:space="0" w:color="auto"/>
        <w:bottom w:val="none" w:sz="0" w:space="0" w:color="auto"/>
        <w:right w:val="none" w:sz="0" w:space="0" w:color="auto"/>
      </w:divBdr>
    </w:div>
    <w:div w:id="1790199660">
      <w:bodyDiv w:val="1"/>
      <w:marLeft w:val="0"/>
      <w:marRight w:val="0"/>
      <w:marTop w:val="0"/>
      <w:marBottom w:val="0"/>
      <w:divBdr>
        <w:top w:val="none" w:sz="0" w:space="0" w:color="auto"/>
        <w:left w:val="none" w:sz="0" w:space="0" w:color="auto"/>
        <w:bottom w:val="none" w:sz="0" w:space="0" w:color="auto"/>
        <w:right w:val="none" w:sz="0" w:space="0" w:color="auto"/>
      </w:divBdr>
      <w:divsChild>
        <w:div w:id="1943998859">
          <w:marLeft w:val="187"/>
          <w:marRight w:val="0"/>
          <w:marTop w:val="20"/>
          <w:marBottom w:val="40"/>
          <w:divBdr>
            <w:top w:val="none" w:sz="0" w:space="0" w:color="auto"/>
            <w:left w:val="none" w:sz="0" w:space="0" w:color="auto"/>
            <w:bottom w:val="none" w:sz="0" w:space="0" w:color="auto"/>
            <w:right w:val="none" w:sz="0" w:space="0" w:color="auto"/>
          </w:divBdr>
        </w:div>
        <w:div w:id="1908107285">
          <w:marLeft w:val="187"/>
          <w:marRight w:val="0"/>
          <w:marTop w:val="20"/>
          <w:marBottom w:val="40"/>
          <w:divBdr>
            <w:top w:val="none" w:sz="0" w:space="0" w:color="auto"/>
            <w:left w:val="none" w:sz="0" w:space="0" w:color="auto"/>
            <w:bottom w:val="none" w:sz="0" w:space="0" w:color="auto"/>
            <w:right w:val="none" w:sz="0" w:space="0" w:color="auto"/>
          </w:divBdr>
        </w:div>
        <w:div w:id="145055578">
          <w:marLeft w:val="187"/>
          <w:marRight w:val="0"/>
          <w:marTop w:val="20"/>
          <w:marBottom w:val="40"/>
          <w:divBdr>
            <w:top w:val="none" w:sz="0" w:space="0" w:color="auto"/>
            <w:left w:val="none" w:sz="0" w:space="0" w:color="auto"/>
            <w:bottom w:val="none" w:sz="0" w:space="0" w:color="auto"/>
            <w:right w:val="none" w:sz="0" w:space="0" w:color="auto"/>
          </w:divBdr>
        </w:div>
        <w:div w:id="462885738">
          <w:marLeft w:val="187"/>
          <w:marRight w:val="0"/>
          <w:marTop w:val="20"/>
          <w:marBottom w:val="40"/>
          <w:divBdr>
            <w:top w:val="none" w:sz="0" w:space="0" w:color="auto"/>
            <w:left w:val="none" w:sz="0" w:space="0" w:color="auto"/>
            <w:bottom w:val="none" w:sz="0" w:space="0" w:color="auto"/>
            <w:right w:val="none" w:sz="0" w:space="0" w:color="auto"/>
          </w:divBdr>
        </w:div>
        <w:div w:id="1600941913">
          <w:marLeft w:val="187"/>
          <w:marRight w:val="0"/>
          <w:marTop w:val="20"/>
          <w:marBottom w:val="40"/>
          <w:divBdr>
            <w:top w:val="none" w:sz="0" w:space="0" w:color="auto"/>
            <w:left w:val="none" w:sz="0" w:space="0" w:color="auto"/>
            <w:bottom w:val="none" w:sz="0" w:space="0" w:color="auto"/>
            <w:right w:val="none" w:sz="0" w:space="0" w:color="auto"/>
          </w:divBdr>
        </w:div>
      </w:divsChild>
    </w:div>
    <w:div w:id="1819766993">
      <w:bodyDiv w:val="1"/>
      <w:marLeft w:val="0"/>
      <w:marRight w:val="0"/>
      <w:marTop w:val="0"/>
      <w:marBottom w:val="0"/>
      <w:divBdr>
        <w:top w:val="none" w:sz="0" w:space="0" w:color="auto"/>
        <w:left w:val="none" w:sz="0" w:space="0" w:color="auto"/>
        <w:bottom w:val="none" w:sz="0" w:space="0" w:color="auto"/>
        <w:right w:val="none" w:sz="0" w:space="0" w:color="auto"/>
      </w:divBdr>
    </w:div>
    <w:div w:id="1822916304">
      <w:bodyDiv w:val="1"/>
      <w:marLeft w:val="0"/>
      <w:marRight w:val="0"/>
      <w:marTop w:val="0"/>
      <w:marBottom w:val="0"/>
      <w:divBdr>
        <w:top w:val="none" w:sz="0" w:space="0" w:color="auto"/>
        <w:left w:val="none" w:sz="0" w:space="0" w:color="auto"/>
        <w:bottom w:val="none" w:sz="0" w:space="0" w:color="auto"/>
        <w:right w:val="none" w:sz="0" w:space="0" w:color="auto"/>
      </w:divBdr>
    </w:div>
    <w:div w:id="1827668221">
      <w:bodyDiv w:val="1"/>
      <w:marLeft w:val="0"/>
      <w:marRight w:val="0"/>
      <w:marTop w:val="0"/>
      <w:marBottom w:val="0"/>
      <w:divBdr>
        <w:top w:val="none" w:sz="0" w:space="0" w:color="auto"/>
        <w:left w:val="none" w:sz="0" w:space="0" w:color="auto"/>
        <w:bottom w:val="none" w:sz="0" w:space="0" w:color="auto"/>
        <w:right w:val="none" w:sz="0" w:space="0" w:color="auto"/>
      </w:divBdr>
    </w:div>
    <w:div w:id="1828594759">
      <w:bodyDiv w:val="1"/>
      <w:marLeft w:val="0"/>
      <w:marRight w:val="0"/>
      <w:marTop w:val="0"/>
      <w:marBottom w:val="0"/>
      <w:divBdr>
        <w:top w:val="none" w:sz="0" w:space="0" w:color="auto"/>
        <w:left w:val="none" w:sz="0" w:space="0" w:color="auto"/>
        <w:bottom w:val="none" w:sz="0" w:space="0" w:color="auto"/>
        <w:right w:val="none" w:sz="0" w:space="0" w:color="auto"/>
      </w:divBdr>
    </w:div>
    <w:div w:id="1841772797">
      <w:bodyDiv w:val="1"/>
      <w:marLeft w:val="0"/>
      <w:marRight w:val="0"/>
      <w:marTop w:val="0"/>
      <w:marBottom w:val="0"/>
      <w:divBdr>
        <w:top w:val="none" w:sz="0" w:space="0" w:color="auto"/>
        <w:left w:val="none" w:sz="0" w:space="0" w:color="auto"/>
        <w:bottom w:val="none" w:sz="0" w:space="0" w:color="auto"/>
        <w:right w:val="none" w:sz="0" w:space="0" w:color="auto"/>
      </w:divBdr>
    </w:div>
    <w:div w:id="1903785645">
      <w:bodyDiv w:val="1"/>
      <w:marLeft w:val="0"/>
      <w:marRight w:val="0"/>
      <w:marTop w:val="0"/>
      <w:marBottom w:val="0"/>
      <w:divBdr>
        <w:top w:val="none" w:sz="0" w:space="0" w:color="auto"/>
        <w:left w:val="none" w:sz="0" w:space="0" w:color="auto"/>
        <w:bottom w:val="none" w:sz="0" w:space="0" w:color="auto"/>
        <w:right w:val="none" w:sz="0" w:space="0" w:color="auto"/>
      </w:divBdr>
      <w:divsChild>
        <w:div w:id="1947423875">
          <w:marLeft w:val="446"/>
          <w:marRight w:val="0"/>
          <w:marTop w:val="0"/>
          <w:marBottom w:val="0"/>
          <w:divBdr>
            <w:top w:val="none" w:sz="0" w:space="0" w:color="auto"/>
            <w:left w:val="none" w:sz="0" w:space="0" w:color="auto"/>
            <w:bottom w:val="none" w:sz="0" w:space="0" w:color="auto"/>
            <w:right w:val="none" w:sz="0" w:space="0" w:color="auto"/>
          </w:divBdr>
        </w:div>
        <w:div w:id="760833879">
          <w:marLeft w:val="446"/>
          <w:marRight w:val="0"/>
          <w:marTop w:val="0"/>
          <w:marBottom w:val="0"/>
          <w:divBdr>
            <w:top w:val="none" w:sz="0" w:space="0" w:color="auto"/>
            <w:left w:val="none" w:sz="0" w:space="0" w:color="auto"/>
            <w:bottom w:val="none" w:sz="0" w:space="0" w:color="auto"/>
            <w:right w:val="none" w:sz="0" w:space="0" w:color="auto"/>
          </w:divBdr>
        </w:div>
        <w:div w:id="1303731187">
          <w:marLeft w:val="1267"/>
          <w:marRight w:val="0"/>
          <w:marTop w:val="0"/>
          <w:marBottom w:val="0"/>
          <w:divBdr>
            <w:top w:val="none" w:sz="0" w:space="0" w:color="auto"/>
            <w:left w:val="none" w:sz="0" w:space="0" w:color="auto"/>
            <w:bottom w:val="none" w:sz="0" w:space="0" w:color="auto"/>
            <w:right w:val="none" w:sz="0" w:space="0" w:color="auto"/>
          </w:divBdr>
        </w:div>
        <w:div w:id="397169486">
          <w:marLeft w:val="1886"/>
          <w:marRight w:val="0"/>
          <w:marTop w:val="0"/>
          <w:marBottom w:val="0"/>
          <w:divBdr>
            <w:top w:val="none" w:sz="0" w:space="0" w:color="auto"/>
            <w:left w:val="none" w:sz="0" w:space="0" w:color="auto"/>
            <w:bottom w:val="none" w:sz="0" w:space="0" w:color="auto"/>
            <w:right w:val="none" w:sz="0" w:space="0" w:color="auto"/>
          </w:divBdr>
        </w:div>
        <w:div w:id="2127771411">
          <w:marLeft w:val="1886"/>
          <w:marRight w:val="0"/>
          <w:marTop w:val="0"/>
          <w:marBottom w:val="0"/>
          <w:divBdr>
            <w:top w:val="none" w:sz="0" w:space="0" w:color="auto"/>
            <w:left w:val="none" w:sz="0" w:space="0" w:color="auto"/>
            <w:bottom w:val="none" w:sz="0" w:space="0" w:color="auto"/>
            <w:right w:val="none" w:sz="0" w:space="0" w:color="auto"/>
          </w:divBdr>
        </w:div>
        <w:div w:id="1121654589">
          <w:marLeft w:val="1267"/>
          <w:marRight w:val="0"/>
          <w:marTop w:val="0"/>
          <w:marBottom w:val="0"/>
          <w:divBdr>
            <w:top w:val="none" w:sz="0" w:space="0" w:color="auto"/>
            <w:left w:val="none" w:sz="0" w:space="0" w:color="auto"/>
            <w:bottom w:val="none" w:sz="0" w:space="0" w:color="auto"/>
            <w:right w:val="none" w:sz="0" w:space="0" w:color="auto"/>
          </w:divBdr>
        </w:div>
        <w:div w:id="891233284">
          <w:marLeft w:val="1987"/>
          <w:marRight w:val="0"/>
          <w:marTop w:val="0"/>
          <w:marBottom w:val="0"/>
          <w:divBdr>
            <w:top w:val="none" w:sz="0" w:space="0" w:color="auto"/>
            <w:left w:val="none" w:sz="0" w:space="0" w:color="auto"/>
            <w:bottom w:val="none" w:sz="0" w:space="0" w:color="auto"/>
            <w:right w:val="none" w:sz="0" w:space="0" w:color="auto"/>
          </w:divBdr>
        </w:div>
        <w:div w:id="239993296">
          <w:marLeft w:val="1987"/>
          <w:marRight w:val="0"/>
          <w:marTop w:val="0"/>
          <w:marBottom w:val="0"/>
          <w:divBdr>
            <w:top w:val="none" w:sz="0" w:space="0" w:color="auto"/>
            <w:left w:val="none" w:sz="0" w:space="0" w:color="auto"/>
            <w:bottom w:val="none" w:sz="0" w:space="0" w:color="auto"/>
            <w:right w:val="none" w:sz="0" w:space="0" w:color="auto"/>
          </w:divBdr>
        </w:div>
        <w:div w:id="270402552">
          <w:marLeft w:val="1987"/>
          <w:marRight w:val="0"/>
          <w:marTop w:val="0"/>
          <w:marBottom w:val="0"/>
          <w:divBdr>
            <w:top w:val="none" w:sz="0" w:space="0" w:color="auto"/>
            <w:left w:val="none" w:sz="0" w:space="0" w:color="auto"/>
            <w:bottom w:val="none" w:sz="0" w:space="0" w:color="auto"/>
            <w:right w:val="none" w:sz="0" w:space="0" w:color="auto"/>
          </w:divBdr>
        </w:div>
        <w:div w:id="1835145118">
          <w:marLeft w:val="1987"/>
          <w:marRight w:val="0"/>
          <w:marTop w:val="0"/>
          <w:marBottom w:val="0"/>
          <w:divBdr>
            <w:top w:val="none" w:sz="0" w:space="0" w:color="auto"/>
            <w:left w:val="none" w:sz="0" w:space="0" w:color="auto"/>
            <w:bottom w:val="none" w:sz="0" w:space="0" w:color="auto"/>
            <w:right w:val="none" w:sz="0" w:space="0" w:color="auto"/>
          </w:divBdr>
        </w:div>
        <w:div w:id="1797915136">
          <w:marLeft w:val="1267"/>
          <w:marRight w:val="0"/>
          <w:marTop w:val="0"/>
          <w:marBottom w:val="0"/>
          <w:divBdr>
            <w:top w:val="none" w:sz="0" w:space="0" w:color="auto"/>
            <w:left w:val="none" w:sz="0" w:space="0" w:color="auto"/>
            <w:bottom w:val="none" w:sz="0" w:space="0" w:color="auto"/>
            <w:right w:val="none" w:sz="0" w:space="0" w:color="auto"/>
          </w:divBdr>
        </w:div>
        <w:div w:id="367023805">
          <w:marLeft w:val="1987"/>
          <w:marRight w:val="0"/>
          <w:marTop w:val="0"/>
          <w:marBottom w:val="0"/>
          <w:divBdr>
            <w:top w:val="none" w:sz="0" w:space="0" w:color="auto"/>
            <w:left w:val="none" w:sz="0" w:space="0" w:color="auto"/>
            <w:bottom w:val="none" w:sz="0" w:space="0" w:color="auto"/>
            <w:right w:val="none" w:sz="0" w:space="0" w:color="auto"/>
          </w:divBdr>
        </w:div>
        <w:div w:id="807747839">
          <w:marLeft w:val="1987"/>
          <w:marRight w:val="0"/>
          <w:marTop w:val="0"/>
          <w:marBottom w:val="0"/>
          <w:divBdr>
            <w:top w:val="none" w:sz="0" w:space="0" w:color="auto"/>
            <w:left w:val="none" w:sz="0" w:space="0" w:color="auto"/>
            <w:bottom w:val="none" w:sz="0" w:space="0" w:color="auto"/>
            <w:right w:val="none" w:sz="0" w:space="0" w:color="auto"/>
          </w:divBdr>
        </w:div>
        <w:div w:id="1905338273">
          <w:marLeft w:val="1987"/>
          <w:marRight w:val="0"/>
          <w:marTop w:val="0"/>
          <w:marBottom w:val="0"/>
          <w:divBdr>
            <w:top w:val="none" w:sz="0" w:space="0" w:color="auto"/>
            <w:left w:val="none" w:sz="0" w:space="0" w:color="auto"/>
            <w:bottom w:val="none" w:sz="0" w:space="0" w:color="auto"/>
            <w:right w:val="none" w:sz="0" w:space="0" w:color="auto"/>
          </w:divBdr>
        </w:div>
      </w:divsChild>
    </w:div>
    <w:div w:id="1931158211">
      <w:bodyDiv w:val="1"/>
      <w:marLeft w:val="0"/>
      <w:marRight w:val="0"/>
      <w:marTop w:val="0"/>
      <w:marBottom w:val="0"/>
      <w:divBdr>
        <w:top w:val="none" w:sz="0" w:space="0" w:color="auto"/>
        <w:left w:val="none" w:sz="0" w:space="0" w:color="auto"/>
        <w:bottom w:val="none" w:sz="0" w:space="0" w:color="auto"/>
        <w:right w:val="none" w:sz="0" w:space="0" w:color="auto"/>
      </w:divBdr>
    </w:div>
    <w:div w:id="1961690331">
      <w:bodyDiv w:val="1"/>
      <w:marLeft w:val="0"/>
      <w:marRight w:val="0"/>
      <w:marTop w:val="0"/>
      <w:marBottom w:val="0"/>
      <w:divBdr>
        <w:top w:val="none" w:sz="0" w:space="0" w:color="auto"/>
        <w:left w:val="none" w:sz="0" w:space="0" w:color="auto"/>
        <w:bottom w:val="none" w:sz="0" w:space="0" w:color="auto"/>
        <w:right w:val="none" w:sz="0" w:space="0" w:color="auto"/>
      </w:divBdr>
    </w:div>
    <w:div w:id="1991788554">
      <w:bodyDiv w:val="1"/>
      <w:marLeft w:val="0"/>
      <w:marRight w:val="0"/>
      <w:marTop w:val="0"/>
      <w:marBottom w:val="0"/>
      <w:divBdr>
        <w:top w:val="none" w:sz="0" w:space="0" w:color="auto"/>
        <w:left w:val="none" w:sz="0" w:space="0" w:color="auto"/>
        <w:bottom w:val="none" w:sz="0" w:space="0" w:color="auto"/>
        <w:right w:val="none" w:sz="0" w:space="0" w:color="auto"/>
      </w:divBdr>
    </w:div>
    <w:div w:id="2007316914">
      <w:bodyDiv w:val="1"/>
      <w:marLeft w:val="0"/>
      <w:marRight w:val="0"/>
      <w:marTop w:val="0"/>
      <w:marBottom w:val="0"/>
      <w:divBdr>
        <w:top w:val="none" w:sz="0" w:space="0" w:color="auto"/>
        <w:left w:val="none" w:sz="0" w:space="0" w:color="auto"/>
        <w:bottom w:val="none" w:sz="0" w:space="0" w:color="auto"/>
        <w:right w:val="none" w:sz="0" w:space="0" w:color="auto"/>
      </w:divBdr>
    </w:div>
    <w:div w:id="2018850283">
      <w:bodyDiv w:val="1"/>
      <w:marLeft w:val="0"/>
      <w:marRight w:val="0"/>
      <w:marTop w:val="0"/>
      <w:marBottom w:val="0"/>
      <w:divBdr>
        <w:top w:val="none" w:sz="0" w:space="0" w:color="auto"/>
        <w:left w:val="none" w:sz="0" w:space="0" w:color="auto"/>
        <w:bottom w:val="none" w:sz="0" w:space="0" w:color="auto"/>
        <w:right w:val="none" w:sz="0" w:space="0" w:color="auto"/>
      </w:divBdr>
    </w:div>
    <w:div w:id="2023194251">
      <w:bodyDiv w:val="1"/>
      <w:marLeft w:val="0"/>
      <w:marRight w:val="0"/>
      <w:marTop w:val="0"/>
      <w:marBottom w:val="0"/>
      <w:divBdr>
        <w:top w:val="none" w:sz="0" w:space="0" w:color="auto"/>
        <w:left w:val="none" w:sz="0" w:space="0" w:color="auto"/>
        <w:bottom w:val="none" w:sz="0" w:space="0" w:color="auto"/>
        <w:right w:val="none" w:sz="0" w:space="0" w:color="auto"/>
      </w:divBdr>
      <w:divsChild>
        <w:div w:id="361058255">
          <w:marLeft w:val="274"/>
          <w:marRight w:val="0"/>
          <w:marTop w:val="0"/>
          <w:marBottom w:val="0"/>
          <w:divBdr>
            <w:top w:val="none" w:sz="0" w:space="0" w:color="auto"/>
            <w:left w:val="none" w:sz="0" w:space="0" w:color="auto"/>
            <w:bottom w:val="none" w:sz="0" w:space="0" w:color="auto"/>
            <w:right w:val="none" w:sz="0" w:space="0" w:color="auto"/>
          </w:divBdr>
        </w:div>
        <w:div w:id="1130054312">
          <w:marLeft w:val="274"/>
          <w:marRight w:val="0"/>
          <w:marTop w:val="0"/>
          <w:marBottom w:val="0"/>
          <w:divBdr>
            <w:top w:val="none" w:sz="0" w:space="0" w:color="auto"/>
            <w:left w:val="none" w:sz="0" w:space="0" w:color="auto"/>
            <w:bottom w:val="none" w:sz="0" w:space="0" w:color="auto"/>
            <w:right w:val="none" w:sz="0" w:space="0" w:color="auto"/>
          </w:divBdr>
        </w:div>
        <w:div w:id="1386300485">
          <w:marLeft w:val="274"/>
          <w:marRight w:val="0"/>
          <w:marTop w:val="0"/>
          <w:marBottom w:val="0"/>
          <w:divBdr>
            <w:top w:val="none" w:sz="0" w:space="0" w:color="auto"/>
            <w:left w:val="none" w:sz="0" w:space="0" w:color="auto"/>
            <w:bottom w:val="none" w:sz="0" w:space="0" w:color="auto"/>
            <w:right w:val="none" w:sz="0" w:space="0" w:color="auto"/>
          </w:divBdr>
        </w:div>
        <w:div w:id="175577363">
          <w:marLeft w:val="274"/>
          <w:marRight w:val="0"/>
          <w:marTop w:val="0"/>
          <w:marBottom w:val="0"/>
          <w:divBdr>
            <w:top w:val="none" w:sz="0" w:space="0" w:color="auto"/>
            <w:left w:val="none" w:sz="0" w:space="0" w:color="auto"/>
            <w:bottom w:val="none" w:sz="0" w:space="0" w:color="auto"/>
            <w:right w:val="none" w:sz="0" w:space="0" w:color="auto"/>
          </w:divBdr>
        </w:div>
        <w:div w:id="702561619">
          <w:marLeft w:val="274"/>
          <w:marRight w:val="0"/>
          <w:marTop w:val="0"/>
          <w:marBottom w:val="0"/>
          <w:divBdr>
            <w:top w:val="none" w:sz="0" w:space="0" w:color="auto"/>
            <w:left w:val="none" w:sz="0" w:space="0" w:color="auto"/>
            <w:bottom w:val="none" w:sz="0" w:space="0" w:color="auto"/>
            <w:right w:val="none" w:sz="0" w:space="0" w:color="auto"/>
          </w:divBdr>
        </w:div>
        <w:div w:id="983969615">
          <w:marLeft w:val="274"/>
          <w:marRight w:val="0"/>
          <w:marTop w:val="0"/>
          <w:marBottom w:val="0"/>
          <w:divBdr>
            <w:top w:val="none" w:sz="0" w:space="0" w:color="auto"/>
            <w:left w:val="none" w:sz="0" w:space="0" w:color="auto"/>
            <w:bottom w:val="none" w:sz="0" w:space="0" w:color="auto"/>
            <w:right w:val="none" w:sz="0" w:space="0" w:color="auto"/>
          </w:divBdr>
        </w:div>
        <w:div w:id="1166559256">
          <w:marLeft w:val="274"/>
          <w:marRight w:val="0"/>
          <w:marTop w:val="0"/>
          <w:marBottom w:val="0"/>
          <w:divBdr>
            <w:top w:val="none" w:sz="0" w:space="0" w:color="auto"/>
            <w:left w:val="none" w:sz="0" w:space="0" w:color="auto"/>
            <w:bottom w:val="none" w:sz="0" w:space="0" w:color="auto"/>
            <w:right w:val="none" w:sz="0" w:space="0" w:color="auto"/>
          </w:divBdr>
        </w:div>
        <w:div w:id="282151729">
          <w:marLeft w:val="274"/>
          <w:marRight w:val="0"/>
          <w:marTop w:val="0"/>
          <w:marBottom w:val="0"/>
          <w:divBdr>
            <w:top w:val="none" w:sz="0" w:space="0" w:color="auto"/>
            <w:left w:val="none" w:sz="0" w:space="0" w:color="auto"/>
            <w:bottom w:val="none" w:sz="0" w:space="0" w:color="auto"/>
            <w:right w:val="none" w:sz="0" w:space="0" w:color="auto"/>
          </w:divBdr>
        </w:div>
        <w:div w:id="161168193">
          <w:marLeft w:val="274"/>
          <w:marRight w:val="0"/>
          <w:marTop w:val="0"/>
          <w:marBottom w:val="0"/>
          <w:divBdr>
            <w:top w:val="none" w:sz="0" w:space="0" w:color="auto"/>
            <w:left w:val="none" w:sz="0" w:space="0" w:color="auto"/>
            <w:bottom w:val="none" w:sz="0" w:space="0" w:color="auto"/>
            <w:right w:val="none" w:sz="0" w:space="0" w:color="auto"/>
          </w:divBdr>
        </w:div>
        <w:div w:id="852184944">
          <w:marLeft w:val="274"/>
          <w:marRight w:val="0"/>
          <w:marTop w:val="0"/>
          <w:marBottom w:val="0"/>
          <w:divBdr>
            <w:top w:val="none" w:sz="0" w:space="0" w:color="auto"/>
            <w:left w:val="none" w:sz="0" w:space="0" w:color="auto"/>
            <w:bottom w:val="none" w:sz="0" w:space="0" w:color="auto"/>
            <w:right w:val="none" w:sz="0" w:space="0" w:color="auto"/>
          </w:divBdr>
        </w:div>
        <w:div w:id="1204559137">
          <w:marLeft w:val="274"/>
          <w:marRight w:val="0"/>
          <w:marTop w:val="0"/>
          <w:marBottom w:val="0"/>
          <w:divBdr>
            <w:top w:val="none" w:sz="0" w:space="0" w:color="auto"/>
            <w:left w:val="none" w:sz="0" w:space="0" w:color="auto"/>
            <w:bottom w:val="none" w:sz="0" w:space="0" w:color="auto"/>
            <w:right w:val="none" w:sz="0" w:space="0" w:color="auto"/>
          </w:divBdr>
        </w:div>
        <w:div w:id="1716195433">
          <w:marLeft w:val="274"/>
          <w:marRight w:val="0"/>
          <w:marTop w:val="0"/>
          <w:marBottom w:val="0"/>
          <w:divBdr>
            <w:top w:val="none" w:sz="0" w:space="0" w:color="auto"/>
            <w:left w:val="none" w:sz="0" w:space="0" w:color="auto"/>
            <w:bottom w:val="none" w:sz="0" w:space="0" w:color="auto"/>
            <w:right w:val="none" w:sz="0" w:space="0" w:color="auto"/>
          </w:divBdr>
        </w:div>
        <w:div w:id="1650599250">
          <w:marLeft w:val="274"/>
          <w:marRight w:val="0"/>
          <w:marTop w:val="0"/>
          <w:marBottom w:val="0"/>
          <w:divBdr>
            <w:top w:val="none" w:sz="0" w:space="0" w:color="auto"/>
            <w:left w:val="none" w:sz="0" w:space="0" w:color="auto"/>
            <w:bottom w:val="none" w:sz="0" w:space="0" w:color="auto"/>
            <w:right w:val="none" w:sz="0" w:space="0" w:color="auto"/>
          </w:divBdr>
        </w:div>
        <w:div w:id="1618827487">
          <w:marLeft w:val="274"/>
          <w:marRight w:val="0"/>
          <w:marTop w:val="0"/>
          <w:marBottom w:val="0"/>
          <w:divBdr>
            <w:top w:val="none" w:sz="0" w:space="0" w:color="auto"/>
            <w:left w:val="none" w:sz="0" w:space="0" w:color="auto"/>
            <w:bottom w:val="none" w:sz="0" w:space="0" w:color="auto"/>
            <w:right w:val="none" w:sz="0" w:space="0" w:color="auto"/>
          </w:divBdr>
        </w:div>
        <w:div w:id="1791976856">
          <w:marLeft w:val="274"/>
          <w:marRight w:val="0"/>
          <w:marTop w:val="0"/>
          <w:marBottom w:val="0"/>
          <w:divBdr>
            <w:top w:val="none" w:sz="0" w:space="0" w:color="auto"/>
            <w:left w:val="none" w:sz="0" w:space="0" w:color="auto"/>
            <w:bottom w:val="none" w:sz="0" w:space="0" w:color="auto"/>
            <w:right w:val="none" w:sz="0" w:space="0" w:color="auto"/>
          </w:divBdr>
        </w:div>
        <w:div w:id="1931816156">
          <w:marLeft w:val="274"/>
          <w:marRight w:val="0"/>
          <w:marTop w:val="0"/>
          <w:marBottom w:val="0"/>
          <w:divBdr>
            <w:top w:val="none" w:sz="0" w:space="0" w:color="auto"/>
            <w:left w:val="none" w:sz="0" w:space="0" w:color="auto"/>
            <w:bottom w:val="none" w:sz="0" w:space="0" w:color="auto"/>
            <w:right w:val="none" w:sz="0" w:space="0" w:color="auto"/>
          </w:divBdr>
        </w:div>
        <w:div w:id="1071393416">
          <w:marLeft w:val="274"/>
          <w:marRight w:val="0"/>
          <w:marTop w:val="0"/>
          <w:marBottom w:val="0"/>
          <w:divBdr>
            <w:top w:val="none" w:sz="0" w:space="0" w:color="auto"/>
            <w:left w:val="none" w:sz="0" w:space="0" w:color="auto"/>
            <w:bottom w:val="none" w:sz="0" w:space="0" w:color="auto"/>
            <w:right w:val="none" w:sz="0" w:space="0" w:color="auto"/>
          </w:divBdr>
        </w:div>
        <w:div w:id="496074547">
          <w:marLeft w:val="274"/>
          <w:marRight w:val="0"/>
          <w:marTop w:val="0"/>
          <w:marBottom w:val="0"/>
          <w:divBdr>
            <w:top w:val="none" w:sz="0" w:space="0" w:color="auto"/>
            <w:left w:val="none" w:sz="0" w:space="0" w:color="auto"/>
            <w:bottom w:val="none" w:sz="0" w:space="0" w:color="auto"/>
            <w:right w:val="none" w:sz="0" w:space="0" w:color="auto"/>
          </w:divBdr>
        </w:div>
        <w:div w:id="598291436">
          <w:marLeft w:val="274"/>
          <w:marRight w:val="0"/>
          <w:marTop w:val="0"/>
          <w:marBottom w:val="0"/>
          <w:divBdr>
            <w:top w:val="none" w:sz="0" w:space="0" w:color="auto"/>
            <w:left w:val="none" w:sz="0" w:space="0" w:color="auto"/>
            <w:bottom w:val="none" w:sz="0" w:space="0" w:color="auto"/>
            <w:right w:val="none" w:sz="0" w:space="0" w:color="auto"/>
          </w:divBdr>
        </w:div>
        <w:div w:id="2124420586">
          <w:marLeft w:val="274"/>
          <w:marRight w:val="0"/>
          <w:marTop w:val="0"/>
          <w:marBottom w:val="0"/>
          <w:divBdr>
            <w:top w:val="none" w:sz="0" w:space="0" w:color="auto"/>
            <w:left w:val="none" w:sz="0" w:space="0" w:color="auto"/>
            <w:bottom w:val="none" w:sz="0" w:space="0" w:color="auto"/>
            <w:right w:val="none" w:sz="0" w:space="0" w:color="auto"/>
          </w:divBdr>
        </w:div>
        <w:div w:id="352731394">
          <w:marLeft w:val="274"/>
          <w:marRight w:val="0"/>
          <w:marTop w:val="0"/>
          <w:marBottom w:val="0"/>
          <w:divBdr>
            <w:top w:val="none" w:sz="0" w:space="0" w:color="auto"/>
            <w:left w:val="none" w:sz="0" w:space="0" w:color="auto"/>
            <w:bottom w:val="none" w:sz="0" w:space="0" w:color="auto"/>
            <w:right w:val="none" w:sz="0" w:space="0" w:color="auto"/>
          </w:divBdr>
        </w:div>
        <w:div w:id="772287063">
          <w:marLeft w:val="274"/>
          <w:marRight w:val="0"/>
          <w:marTop w:val="0"/>
          <w:marBottom w:val="0"/>
          <w:divBdr>
            <w:top w:val="none" w:sz="0" w:space="0" w:color="auto"/>
            <w:left w:val="none" w:sz="0" w:space="0" w:color="auto"/>
            <w:bottom w:val="none" w:sz="0" w:space="0" w:color="auto"/>
            <w:right w:val="none" w:sz="0" w:space="0" w:color="auto"/>
          </w:divBdr>
        </w:div>
        <w:div w:id="1243298758">
          <w:marLeft w:val="274"/>
          <w:marRight w:val="0"/>
          <w:marTop w:val="0"/>
          <w:marBottom w:val="0"/>
          <w:divBdr>
            <w:top w:val="none" w:sz="0" w:space="0" w:color="auto"/>
            <w:left w:val="none" w:sz="0" w:space="0" w:color="auto"/>
            <w:bottom w:val="none" w:sz="0" w:space="0" w:color="auto"/>
            <w:right w:val="none" w:sz="0" w:space="0" w:color="auto"/>
          </w:divBdr>
        </w:div>
      </w:divsChild>
    </w:div>
    <w:div w:id="2023628183">
      <w:bodyDiv w:val="1"/>
      <w:marLeft w:val="0"/>
      <w:marRight w:val="0"/>
      <w:marTop w:val="0"/>
      <w:marBottom w:val="0"/>
      <w:divBdr>
        <w:top w:val="none" w:sz="0" w:space="0" w:color="auto"/>
        <w:left w:val="none" w:sz="0" w:space="0" w:color="auto"/>
        <w:bottom w:val="none" w:sz="0" w:space="0" w:color="auto"/>
        <w:right w:val="none" w:sz="0" w:space="0" w:color="auto"/>
      </w:divBdr>
    </w:div>
    <w:div w:id="2039694595">
      <w:bodyDiv w:val="1"/>
      <w:marLeft w:val="0"/>
      <w:marRight w:val="0"/>
      <w:marTop w:val="0"/>
      <w:marBottom w:val="0"/>
      <w:divBdr>
        <w:top w:val="none" w:sz="0" w:space="0" w:color="auto"/>
        <w:left w:val="none" w:sz="0" w:space="0" w:color="auto"/>
        <w:bottom w:val="none" w:sz="0" w:space="0" w:color="auto"/>
        <w:right w:val="none" w:sz="0" w:space="0" w:color="auto"/>
      </w:divBdr>
    </w:div>
    <w:div w:id="2086952488">
      <w:bodyDiv w:val="1"/>
      <w:marLeft w:val="0"/>
      <w:marRight w:val="0"/>
      <w:marTop w:val="0"/>
      <w:marBottom w:val="0"/>
      <w:divBdr>
        <w:top w:val="none" w:sz="0" w:space="0" w:color="auto"/>
        <w:left w:val="none" w:sz="0" w:space="0" w:color="auto"/>
        <w:bottom w:val="none" w:sz="0" w:space="0" w:color="auto"/>
        <w:right w:val="none" w:sz="0" w:space="0" w:color="auto"/>
      </w:divBdr>
    </w:div>
    <w:div w:id="2100369364">
      <w:bodyDiv w:val="1"/>
      <w:marLeft w:val="0"/>
      <w:marRight w:val="0"/>
      <w:marTop w:val="0"/>
      <w:marBottom w:val="0"/>
      <w:divBdr>
        <w:top w:val="none" w:sz="0" w:space="0" w:color="auto"/>
        <w:left w:val="none" w:sz="0" w:space="0" w:color="auto"/>
        <w:bottom w:val="none" w:sz="0" w:space="0" w:color="auto"/>
        <w:right w:val="none" w:sz="0" w:space="0" w:color="auto"/>
      </w:divBdr>
      <w:divsChild>
        <w:div w:id="256788539">
          <w:marLeft w:val="547"/>
          <w:marRight w:val="0"/>
          <w:marTop w:val="0"/>
          <w:marBottom w:val="0"/>
          <w:divBdr>
            <w:top w:val="none" w:sz="0" w:space="0" w:color="auto"/>
            <w:left w:val="none" w:sz="0" w:space="0" w:color="auto"/>
            <w:bottom w:val="none" w:sz="0" w:space="0" w:color="auto"/>
            <w:right w:val="none" w:sz="0" w:space="0" w:color="auto"/>
          </w:divBdr>
        </w:div>
        <w:div w:id="1645895113">
          <w:marLeft w:val="547"/>
          <w:marRight w:val="0"/>
          <w:marTop w:val="0"/>
          <w:marBottom w:val="0"/>
          <w:divBdr>
            <w:top w:val="none" w:sz="0" w:space="0" w:color="auto"/>
            <w:left w:val="none" w:sz="0" w:space="0" w:color="auto"/>
            <w:bottom w:val="none" w:sz="0" w:space="0" w:color="auto"/>
            <w:right w:val="none" w:sz="0" w:space="0" w:color="auto"/>
          </w:divBdr>
        </w:div>
        <w:div w:id="812869812">
          <w:marLeft w:val="547"/>
          <w:marRight w:val="0"/>
          <w:marTop w:val="0"/>
          <w:marBottom w:val="0"/>
          <w:divBdr>
            <w:top w:val="none" w:sz="0" w:space="0" w:color="auto"/>
            <w:left w:val="none" w:sz="0" w:space="0" w:color="auto"/>
            <w:bottom w:val="none" w:sz="0" w:space="0" w:color="auto"/>
            <w:right w:val="none" w:sz="0" w:space="0" w:color="auto"/>
          </w:divBdr>
        </w:div>
        <w:div w:id="487484258">
          <w:marLeft w:val="547"/>
          <w:marRight w:val="0"/>
          <w:marTop w:val="0"/>
          <w:marBottom w:val="0"/>
          <w:divBdr>
            <w:top w:val="none" w:sz="0" w:space="0" w:color="auto"/>
            <w:left w:val="none" w:sz="0" w:space="0" w:color="auto"/>
            <w:bottom w:val="none" w:sz="0" w:space="0" w:color="auto"/>
            <w:right w:val="none" w:sz="0" w:space="0" w:color="auto"/>
          </w:divBdr>
        </w:div>
        <w:div w:id="1463114881">
          <w:marLeft w:val="547"/>
          <w:marRight w:val="0"/>
          <w:marTop w:val="0"/>
          <w:marBottom w:val="0"/>
          <w:divBdr>
            <w:top w:val="none" w:sz="0" w:space="0" w:color="auto"/>
            <w:left w:val="none" w:sz="0" w:space="0" w:color="auto"/>
            <w:bottom w:val="none" w:sz="0" w:space="0" w:color="auto"/>
            <w:right w:val="none" w:sz="0" w:space="0" w:color="auto"/>
          </w:divBdr>
        </w:div>
        <w:div w:id="827553492">
          <w:marLeft w:val="547"/>
          <w:marRight w:val="0"/>
          <w:marTop w:val="0"/>
          <w:marBottom w:val="0"/>
          <w:divBdr>
            <w:top w:val="none" w:sz="0" w:space="0" w:color="auto"/>
            <w:left w:val="none" w:sz="0" w:space="0" w:color="auto"/>
            <w:bottom w:val="none" w:sz="0" w:space="0" w:color="auto"/>
            <w:right w:val="none" w:sz="0" w:space="0" w:color="auto"/>
          </w:divBdr>
        </w:div>
        <w:div w:id="806360277">
          <w:marLeft w:val="547"/>
          <w:marRight w:val="0"/>
          <w:marTop w:val="0"/>
          <w:marBottom w:val="0"/>
          <w:divBdr>
            <w:top w:val="none" w:sz="0" w:space="0" w:color="auto"/>
            <w:left w:val="none" w:sz="0" w:space="0" w:color="auto"/>
            <w:bottom w:val="none" w:sz="0" w:space="0" w:color="auto"/>
            <w:right w:val="none" w:sz="0" w:space="0" w:color="auto"/>
          </w:divBdr>
        </w:div>
        <w:div w:id="485363021">
          <w:marLeft w:val="547"/>
          <w:marRight w:val="0"/>
          <w:marTop w:val="0"/>
          <w:marBottom w:val="0"/>
          <w:divBdr>
            <w:top w:val="none" w:sz="0" w:space="0" w:color="auto"/>
            <w:left w:val="none" w:sz="0" w:space="0" w:color="auto"/>
            <w:bottom w:val="none" w:sz="0" w:space="0" w:color="auto"/>
            <w:right w:val="none" w:sz="0" w:space="0" w:color="auto"/>
          </w:divBdr>
        </w:div>
        <w:div w:id="1715470656">
          <w:marLeft w:val="547"/>
          <w:marRight w:val="0"/>
          <w:marTop w:val="0"/>
          <w:marBottom w:val="0"/>
          <w:divBdr>
            <w:top w:val="none" w:sz="0" w:space="0" w:color="auto"/>
            <w:left w:val="none" w:sz="0" w:space="0" w:color="auto"/>
            <w:bottom w:val="none" w:sz="0" w:space="0" w:color="auto"/>
            <w:right w:val="none" w:sz="0" w:space="0" w:color="auto"/>
          </w:divBdr>
        </w:div>
        <w:div w:id="595331910">
          <w:marLeft w:val="547"/>
          <w:marRight w:val="0"/>
          <w:marTop w:val="0"/>
          <w:marBottom w:val="0"/>
          <w:divBdr>
            <w:top w:val="none" w:sz="0" w:space="0" w:color="auto"/>
            <w:left w:val="none" w:sz="0" w:space="0" w:color="auto"/>
            <w:bottom w:val="none" w:sz="0" w:space="0" w:color="auto"/>
            <w:right w:val="none" w:sz="0" w:space="0" w:color="auto"/>
          </w:divBdr>
        </w:div>
        <w:div w:id="1688362355">
          <w:marLeft w:val="547"/>
          <w:marRight w:val="0"/>
          <w:marTop w:val="0"/>
          <w:marBottom w:val="0"/>
          <w:divBdr>
            <w:top w:val="none" w:sz="0" w:space="0" w:color="auto"/>
            <w:left w:val="none" w:sz="0" w:space="0" w:color="auto"/>
            <w:bottom w:val="none" w:sz="0" w:space="0" w:color="auto"/>
            <w:right w:val="none" w:sz="0" w:space="0" w:color="auto"/>
          </w:divBdr>
        </w:div>
        <w:div w:id="59986844">
          <w:marLeft w:val="547"/>
          <w:marRight w:val="0"/>
          <w:marTop w:val="0"/>
          <w:marBottom w:val="0"/>
          <w:divBdr>
            <w:top w:val="none" w:sz="0" w:space="0" w:color="auto"/>
            <w:left w:val="none" w:sz="0" w:space="0" w:color="auto"/>
            <w:bottom w:val="none" w:sz="0" w:space="0" w:color="auto"/>
            <w:right w:val="none" w:sz="0" w:space="0" w:color="auto"/>
          </w:divBdr>
        </w:div>
      </w:divsChild>
    </w:div>
    <w:div w:id="2101366882">
      <w:bodyDiv w:val="1"/>
      <w:marLeft w:val="0"/>
      <w:marRight w:val="0"/>
      <w:marTop w:val="0"/>
      <w:marBottom w:val="0"/>
      <w:divBdr>
        <w:top w:val="none" w:sz="0" w:space="0" w:color="auto"/>
        <w:left w:val="none" w:sz="0" w:space="0" w:color="auto"/>
        <w:bottom w:val="none" w:sz="0" w:space="0" w:color="auto"/>
        <w:right w:val="none" w:sz="0" w:space="0" w:color="auto"/>
      </w:divBdr>
      <w:divsChild>
        <w:div w:id="1091700364">
          <w:marLeft w:val="274"/>
          <w:marRight w:val="0"/>
          <w:marTop w:val="0"/>
          <w:marBottom w:val="0"/>
          <w:divBdr>
            <w:top w:val="none" w:sz="0" w:space="0" w:color="auto"/>
            <w:left w:val="none" w:sz="0" w:space="0" w:color="auto"/>
            <w:bottom w:val="none" w:sz="0" w:space="0" w:color="auto"/>
            <w:right w:val="none" w:sz="0" w:space="0" w:color="auto"/>
          </w:divBdr>
        </w:div>
        <w:div w:id="46422376">
          <w:marLeft w:val="274"/>
          <w:marRight w:val="0"/>
          <w:marTop w:val="0"/>
          <w:marBottom w:val="0"/>
          <w:divBdr>
            <w:top w:val="none" w:sz="0" w:space="0" w:color="auto"/>
            <w:left w:val="none" w:sz="0" w:space="0" w:color="auto"/>
            <w:bottom w:val="none" w:sz="0" w:space="0" w:color="auto"/>
            <w:right w:val="none" w:sz="0" w:space="0" w:color="auto"/>
          </w:divBdr>
        </w:div>
        <w:div w:id="156656002">
          <w:marLeft w:val="274"/>
          <w:marRight w:val="0"/>
          <w:marTop w:val="0"/>
          <w:marBottom w:val="0"/>
          <w:divBdr>
            <w:top w:val="none" w:sz="0" w:space="0" w:color="auto"/>
            <w:left w:val="none" w:sz="0" w:space="0" w:color="auto"/>
            <w:bottom w:val="none" w:sz="0" w:space="0" w:color="auto"/>
            <w:right w:val="none" w:sz="0" w:space="0" w:color="auto"/>
          </w:divBdr>
        </w:div>
        <w:div w:id="939067155">
          <w:marLeft w:val="274"/>
          <w:marRight w:val="0"/>
          <w:marTop w:val="0"/>
          <w:marBottom w:val="0"/>
          <w:divBdr>
            <w:top w:val="none" w:sz="0" w:space="0" w:color="auto"/>
            <w:left w:val="none" w:sz="0" w:space="0" w:color="auto"/>
            <w:bottom w:val="none" w:sz="0" w:space="0" w:color="auto"/>
            <w:right w:val="none" w:sz="0" w:space="0" w:color="auto"/>
          </w:divBdr>
        </w:div>
        <w:div w:id="2012486693">
          <w:marLeft w:val="274"/>
          <w:marRight w:val="0"/>
          <w:marTop w:val="0"/>
          <w:marBottom w:val="0"/>
          <w:divBdr>
            <w:top w:val="none" w:sz="0" w:space="0" w:color="auto"/>
            <w:left w:val="none" w:sz="0" w:space="0" w:color="auto"/>
            <w:bottom w:val="none" w:sz="0" w:space="0" w:color="auto"/>
            <w:right w:val="none" w:sz="0" w:space="0" w:color="auto"/>
          </w:divBdr>
        </w:div>
        <w:div w:id="1485242621">
          <w:marLeft w:val="274"/>
          <w:marRight w:val="0"/>
          <w:marTop w:val="0"/>
          <w:marBottom w:val="0"/>
          <w:divBdr>
            <w:top w:val="none" w:sz="0" w:space="0" w:color="auto"/>
            <w:left w:val="none" w:sz="0" w:space="0" w:color="auto"/>
            <w:bottom w:val="none" w:sz="0" w:space="0" w:color="auto"/>
            <w:right w:val="none" w:sz="0" w:space="0" w:color="auto"/>
          </w:divBdr>
        </w:div>
        <w:div w:id="534388379">
          <w:marLeft w:val="274"/>
          <w:marRight w:val="0"/>
          <w:marTop w:val="0"/>
          <w:marBottom w:val="0"/>
          <w:divBdr>
            <w:top w:val="none" w:sz="0" w:space="0" w:color="auto"/>
            <w:left w:val="none" w:sz="0" w:space="0" w:color="auto"/>
            <w:bottom w:val="none" w:sz="0" w:space="0" w:color="auto"/>
            <w:right w:val="none" w:sz="0" w:space="0" w:color="auto"/>
          </w:divBdr>
        </w:div>
      </w:divsChild>
    </w:div>
    <w:div w:id="210614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healthontario.on.ca/en/standards/view/provincial-client-registry" TargetMode="External"/><Relationship Id="rId21" Type="http://schemas.openxmlformats.org/officeDocument/2006/relationships/hyperlink" Target="https://thenounproject.com/term/crowd/2383331" TargetMode="External"/><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hyperlink" Target="https://www.ehealthontario.on.ca/en/standards/view/diagnostic-imaging-common-service-standard-dinbspcs" TargetMode="External"/><Relationship Id="rId50" Type="http://schemas.openxmlformats.org/officeDocument/2006/relationships/image" Target="media/image15.png"/><Relationship Id="rId55" Type="http://schemas.openxmlformats.org/officeDocument/2006/relationships/hyperlink" Target="https://thenounproject.com/term/security/2378378" TargetMode="External"/><Relationship Id="rId63" Type="http://schemas.openxmlformats.org/officeDocument/2006/relationships/hyperlink" Target="https://www.ontariomd.ca/emr-certification/emr-specification/library" TargetMode="External"/><Relationship Id="rId68" Type="http://schemas.openxmlformats.org/officeDocument/2006/relationships/hyperlink" Target="https://www.ehealthontario.on.ca/en/standards/view/one-id-openid-connect-specification" TargetMode="External"/><Relationship Id="rId76" Type="http://schemas.openxmlformats.org/officeDocument/2006/relationships/package" Target="embeddings/Microsoft_Visio_Drawing1.vsdx"/><Relationship Id="rId84" Type="http://schemas.openxmlformats.org/officeDocument/2006/relationships/hyperlink" Target="https://infocentral.infoway-inforoute.ca/en/standards/canadian/pclocd-loinc" TargetMode="External"/><Relationship Id="rId89" Type="http://schemas.openxmlformats.org/officeDocument/2006/relationships/hyperlink" Target="https://secure.cihi.ca/estore/productSeries.htm?locale=en&amp;pc=PCC189" TargetMode="External"/><Relationship Id="rId7" Type="http://schemas.openxmlformats.org/officeDocument/2006/relationships/endnotes" Target="endnotes.xml"/><Relationship Id="rId71" Type="http://schemas.openxmlformats.org/officeDocument/2006/relationships/hyperlink" Target="https://www.ehealthontario.on.ca/en/standards/view/single-sign-on-patient-context-sharing-standard" TargetMode="External"/><Relationship Id="rId92" Type="http://schemas.openxmlformats.org/officeDocument/2006/relationships/hyperlink" Target="https://infocentral.infoway-inforoute.ca/en/standards/standards-access"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ehealthontario.on.ca/en/standards/view/provincial-client-registry" TargetMode="External"/><Relationship Id="R8f128b49f7664ab9" Type="http://schemas.microsoft.com/office/2018/08/relationships/commentsExtensible" Target="commentsExtensible.xml"/><Relationship Id="rId11" Type="http://schemas.openxmlformats.org/officeDocument/2006/relationships/header" Target="header2.xml"/><Relationship Id="rId24" Type="http://schemas.openxmlformats.org/officeDocument/2006/relationships/hyperlink" Target="https://www.ehealthontario.on.ca/en/standards/view/provincial-provider-registry-fhir" TargetMode="External"/><Relationship Id="rId32" Type="http://schemas.openxmlformats.org/officeDocument/2006/relationships/image" Target="media/image9.png"/><Relationship Id="rId37" Type="http://schemas.openxmlformats.org/officeDocument/2006/relationships/hyperlink" Target="https://www.ehealthontario.on.ca/en/standards/view/ontario-laboratories-information-system-standard" TargetMode="External"/><Relationship Id="rId40" Type="http://schemas.openxmlformats.org/officeDocument/2006/relationships/image" Target="media/image12.png"/><Relationship Id="rId45" Type="http://schemas.openxmlformats.org/officeDocument/2006/relationships/hyperlink" Target="https://www.ehealthontario.on.ca/en/standards/view/digital-health-immunization-repository-specification-fhir-release-4" TargetMode="External"/><Relationship Id="rId53" Type="http://schemas.openxmlformats.org/officeDocument/2006/relationships/hyperlink" Target="https://www.ehealthontario.on.ca/en/standards/view/hial-transport-message-specification" TargetMode="External"/><Relationship Id="rId58" Type="http://schemas.openxmlformats.org/officeDocument/2006/relationships/hyperlink" Target="https://ehealthontario.on.ca/files/public/support/Security/Security_Toolkit/EHR_Security_Assessment_for_Federated_or_Data_Contribution_Organizations_EN.xlsm" TargetMode="External"/><Relationship Id="rId66" Type="http://schemas.openxmlformats.org/officeDocument/2006/relationships/hyperlink" Target="https://thenounproject.com/term/authentication/3160355" TargetMode="External"/><Relationship Id="rId74" Type="http://schemas.openxmlformats.org/officeDocument/2006/relationships/package" Target="embeddings/Microsoft_Visio_Drawing.vsdx"/><Relationship Id="rId79" Type="http://schemas.openxmlformats.org/officeDocument/2006/relationships/hyperlink" Target="https://thenounproject.com/term/content-optimization/1857842" TargetMode="External"/><Relationship Id="rId87" Type="http://schemas.openxmlformats.org/officeDocument/2006/relationships/hyperlink" Target="https://www.hl7.org/fhir/terminologies-valuesets.html" TargetMode="External"/><Relationship Id="rId5" Type="http://schemas.openxmlformats.org/officeDocument/2006/relationships/webSettings" Target="webSettings.xml"/><Relationship Id="rId61" Type="http://schemas.openxmlformats.org/officeDocument/2006/relationships/hyperlink" Target="https://ehealthontario.on.ca/en/standards/acute-and-community-cdr-input-standard" TargetMode="External"/><Relationship Id="rId82" Type="http://schemas.openxmlformats.org/officeDocument/2006/relationships/hyperlink" Target="https://ic.infoway-inforoute.ca/?subject=Access%20to%20Standards)" TargetMode="External"/><Relationship Id="rId90" Type="http://schemas.openxmlformats.org/officeDocument/2006/relationships/hyperlink" Target="https://secure.cihi.ca/estore/productSeries.htm?locale=en&amp;pc=PCC189" TargetMode="External"/><Relationship Id="rId95" Type="http://schemas.openxmlformats.org/officeDocument/2006/relationships/fontTable" Target="fontTable.xml"/><Relationship Id="rId19" Type="http://schemas.openxmlformats.org/officeDocument/2006/relationships/hyperlink" Target="https://thenounproject.com/term/pencil/2310465"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s://www.ehealthontario.on.ca/en/standards/view/provincial-client-registry" TargetMode="External"/><Relationship Id="rId35" Type="http://schemas.openxmlformats.org/officeDocument/2006/relationships/hyperlink" Target="https://ehealthontario.on.ca/en/standards/acute-and-community-cdr-input-standard" TargetMode="External"/><Relationship Id="rId43" Type="http://schemas.microsoft.com/office/2007/relationships/hdphoto" Target="media/hdphoto1.wdp"/><Relationship Id="rId48" Type="http://schemas.openxmlformats.org/officeDocument/2006/relationships/hyperlink" Target="https://www.ihe.net/uploadedFiles/Documents/ITI/IHE_ITI_TF_Vol1.pdf" TargetMode="External"/><Relationship Id="rId56" Type="http://schemas.openxmlformats.org/officeDocument/2006/relationships/image" Target="media/image17.png"/><Relationship Id="rId64" Type="http://schemas.openxmlformats.org/officeDocument/2006/relationships/hyperlink" Target="mailto:ESD-Technicians@hssontario.ca" TargetMode="External"/><Relationship Id="rId69" Type="http://schemas.openxmlformats.org/officeDocument/2006/relationships/hyperlink" Target="https://www.ehealthontario.on.ca/en/standards/view/ontario-cms" TargetMode="External"/><Relationship Id="rId77" Type="http://schemas.openxmlformats.org/officeDocument/2006/relationships/hyperlink" Target="https://thenounproject.com/term/integration/3266034" TargetMode="External"/><Relationship Id="rId8" Type="http://schemas.openxmlformats.org/officeDocument/2006/relationships/image" Target="media/image1.jpg"/><Relationship Id="rId51" Type="http://schemas.openxmlformats.org/officeDocument/2006/relationships/hyperlink" Target="https://thenounproject.com/term/transport/1575497" TargetMode="External"/><Relationship Id="rId72" Type="http://schemas.openxmlformats.org/officeDocument/2006/relationships/image" Target="media/image21.png"/><Relationship Id="rId80" Type="http://schemas.openxmlformats.org/officeDocument/2006/relationships/image" Target="media/image25.png"/><Relationship Id="rId85" Type="http://schemas.openxmlformats.org/officeDocument/2006/relationships/hyperlink" Target="https://ic.infoway-inforoute.ca/?subject=Access%20to%20Standards)" TargetMode="External"/><Relationship Id="rId93" Type="http://schemas.openxmlformats.org/officeDocument/2006/relationships/hyperlink" Target="https://www.himss.org/what-interoperability" TargetMode="External"/><Relationship Id="rId98"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oh-ds_architecture@ontariohealth.ca" TargetMode="External"/><Relationship Id="rId33" Type="http://schemas.openxmlformats.org/officeDocument/2006/relationships/hyperlink" Target="http://www.ehealthontario.on.ca/en/architecture/standards" TargetMode="External"/><Relationship Id="rId38" Type="http://schemas.openxmlformats.org/officeDocument/2006/relationships/hyperlink" Target="https://www.ehealthontario.on.ca/en/standards/view/olis-hl7-fhir-implementation-guide-provider-query-overview" TargetMode="External"/><Relationship Id="rId46" Type="http://schemas.openxmlformats.org/officeDocument/2006/relationships/image" Target="media/image14.png"/><Relationship Id="rId59" Type="http://schemas.openxmlformats.org/officeDocument/2006/relationships/hyperlink" Target="https://thenounproject.com/term/manager/2763554" TargetMode="External"/><Relationship Id="rId67" Type="http://schemas.openxmlformats.org/officeDocument/2006/relationships/image" Target="media/image19.png"/><Relationship Id="rId20" Type="http://schemas.openxmlformats.org/officeDocument/2006/relationships/image" Target="media/image5.png"/><Relationship Id="rId41" Type="http://schemas.openxmlformats.org/officeDocument/2006/relationships/hyperlink" Target="https://www.ehealthontario.on.ca/en/standards/view/digital-health-drug-repository-specification-fhir-release-3" TargetMode="External"/><Relationship Id="rId54" Type="http://schemas.openxmlformats.org/officeDocument/2006/relationships/hyperlink" Target="https://www.ehealthontario.on.ca/en/standards/view/one-access-gateway-transport-specification" TargetMode="External"/><Relationship Id="rId62" Type="http://schemas.openxmlformats.org/officeDocument/2006/relationships/hyperlink" Target="https://www.ontariomd.ca/emrcertification/health%20report%20manager%20fhir%20input%20specification_v1.1.0.pdf" TargetMode="External"/><Relationship Id="rId70" Type="http://schemas.openxmlformats.org/officeDocument/2006/relationships/image" Target="media/image20.png"/><Relationship Id="rId75" Type="http://schemas.openxmlformats.org/officeDocument/2006/relationships/image" Target="media/image23.emf"/><Relationship Id="rId83" Type="http://schemas.openxmlformats.org/officeDocument/2006/relationships/hyperlink" Target="http://loinc.org/" TargetMode="External"/><Relationship Id="rId88" Type="http://schemas.openxmlformats.org/officeDocument/2006/relationships/hyperlink" Target="https://tgateway.infoway-inforoute.ca/" TargetMode="External"/><Relationship Id="rId91" Type="http://schemas.openxmlformats.org/officeDocument/2006/relationships/hyperlink" Target="https://infocentral.infoway-inforoute.ca/en/standards/standards-acces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s://ehealthontario.on.ca/en/standards/provincial-client-registry-hl7-fhir-implementation-guide" TargetMode="External"/><Relationship Id="rId36" Type="http://schemas.openxmlformats.org/officeDocument/2006/relationships/image" Target="media/image11.png"/><Relationship Id="rId49" Type="http://schemas.openxmlformats.org/officeDocument/2006/relationships/hyperlink" Target="https://thenounproject.com/term/communication/1970152" TargetMode="External"/><Relationship Id="rId57" Type="http://schemas.openxmlformats.org/officeDocument/2006/relationships/hyperlink" Target="https://ehealthontario.on.ca/en/support/article/security-toolkit-getting-connected/" TargetMode="External"/><Relationship Id="rId10" Type="http://schemas.openxmlformats.org/officeDocument/2006/relationships/header" Target="header1.xml"/><Relationship Id="rId31" Type="http://schemas.openxmlformats.org/officeDocument/2006/relationships/hyperlink" Target="https://thenounproject.com/term/medical-chart/612387" TargetMode="External"/><Relationship Id="rId44" Type="http://schemas.openxmlformats.org/officeDocument/2006/relationships/hyperlink" Target="https://www.ehealthontario.on.ca/en/standards/view/digital-health-immunization-repository-consumer-access-specification-fhir" TargetMode="External"/><Relationship Id="rId52" Type="http://schemas.openxmlformats.org/officeDocument/2006/relationships/image" Target="media/image16.png"/><Relationship Id="rId60" Type="http://schemas.openxmlformats.org/officeDocument/2006/relationships/image" Target="media/image18.png"/><Relationship Id="rId65" Type="http://schemas.openxmlformats.org/officeDocument/2006/relationships/hyperlink" Target="mailto:ESD-Technicians@hssontario.ca" TargetMode="External"/><Relationship Id="rId73" Type="http://schemas.openxmlformats.org/officeDocument/2006/relationships/image" Target="media/image22.emf"/><Relationship Id="rId78" Type="http://schemas.openxmlformats.org/officeDocument/2006/relationships/image" Target="media/image24.png"/><Relationship Id="rId81" Type="http://schemas.openxmlformats.org/officeDocument/2006/relationships/hyperlink" Target="https://infocentral.infoway-inforoute.ca/en/standards/canadian/snomed-ct" TargetMode="External"/><Relationship Id="rId86" Type="http://schemas.openxmlformats.org/officeDocument/2006/relationships/hyperlink" Target="https://www.hl7.org/fhir/terminologies-valuesets.html" TargetMode="External"/><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s://www.ehealthontario.on.ca/en/standards/view/olis-hl7-fhir-implementation-guide-consumer-query-overview"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infocentral.infoway-inforoute.ca/en/tools/standards-tools/hl7-explorer" TargetMode="External"/><Relationship Id="rId1" Type="http://schemas.openxmlformats.org/officeDocument/2006/relationships/hyperlink" Target="https://can01.safelinks.protection.outlook.com/?url=https%3A%2F%2Finfocentral.infoway-inforoute.ca%2Fen%2Fresources%2Fdocs%2F1502-infoway-v3-hl7-release-status%2Fview-document&amp;data=02%7C01%7Cjanet.routliffe%40ontariohealth.ca%7C4ca57d09a4c646869c4108d856751780%7C4ef96c5cd83f466ba478816a5bb4af62%7C0%7C0%7C637354408187197727&amp;sdata=ujoS3shVquekKog2t8%2FfBwleVBmDWNQNFRC7G4su%2B9o%3D&amp;reserved=0"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eHealth">
      <a:dk1>
        <a:sysClr val="windowText" lastClr="000000"/>
      </a:dk1>
      <a:lt1>
        <a:sysClr val="window" lastClr="FFFFFF"/>
      </a:lt1>
      <a:dk2>
        <a:srgbClr val="205867"/>
      </a:dk2>
      <a:lt2>
        <a:srgbClr val="EEECE1"/>
      </a:lt2>
      <a:accent1>
        <a:srgbClr val="00B9E4"/>
      </a:accent1>
      <a:accent2>
        <a:srgbClr val="D2492A"/>
      </a:accent2>
      <a:accent3>
        <a:srgbClr val="58A618"/>
      </a:accent3>
      <a:accent4>
        <a:srgbClr val="8064A2"/>
      </a:accent4>
      <a:accent5>
        <a:srgbClr val="00B9E4"/>
      </a:accent5>
      <a:accent6>
        <a:srgbClr val="F79646"/>
      </a:accent6>
      <a:hlink>
        <a:srgbClr val="00B9E4"/>
      </a:hlink>
      <a:folHlink>
        <a:srgbClr val="693A77"/>
      </a:folHlink>
    </a:clrScheme>
    <a:fontScheme name="eHealth Ontario">
      <a:majorFont>
        <a:latin typeface="Tw Cen MT Condensed"/>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28D798C1-B75B-4B97-B4AF-4837D48DD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9015</Words>
  <Characters>51391</Characters>
  <Application>Microsoft Office Word</Application>
  <DocSecurity>8</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2020-12-09T21:08:00Z</dcterms:created>
  <dcterms:modified xsi:type="dcterms:W3CDTF">2020-12-09T21:23:00Z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